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F729D" w14:textId="259C8A92" w:rsidR="003A38CB" w:rsidRPr="001B3DAF" w:rsidRDefault="00842839" w:rsidP="003A38CB">
      <w:pPr>
        <w:pStyle w:val="Default"/>
        <w:rPr>
          <w:sz w:val="52"/>
          <w:szCs w:val="52"/>
        </w:rPr>
      </w:pPr>
      <w:r w:rsidRPr="00842839">
        <w:rPr>
          <w:color w:val="FF0000"/>
          <w:sz w:val="52"/>
          <w:szCs w:val="52"/>
        </w:rPr>
        <w:t>Amended</w:t>
      </w:r>
      <w:r>
        <w:rPr>
          <w:sz w:val="52"/>
          <w:szCs w:val="52"/>
        </w:rPr>
        <w:t xml:space="preserve"> </w:t>
      </w:r>
      <w:r w:rsidR="003A38CB" w:rsidRPr="001B3DAF">
        <w:rPr>
          <w:sz w:val="52"/>
          <w:szCs w:val="52"/>
        </w:rPr>
        <w:t xml:space="preserve">NOTICE OF FUNDS AVAILABLE </w:t>
      </w:r>
    </w:p>
    <w:p w14:paraId="62BCC627" w14:textId="77777777" w:rsidR="001B3DAF" w:rsidRDefault="001B3DAF" w:rsidP="003A38CB">
      <w:pPr>
        <w:pStyle w:val="Default"/>
        <w:rPr>
          <w:b/>
          <w:bCs/>
          <w:sz w:val="32"/>
          <w:szCs w:val="32"/>
        </w:rPr>
      </w:pPr>
    </w:p>
    <w:p w14:paraId="7F0AAD31" w14:textId="77777777" w:rsidR="003A38CB" w:rsidRPr="001B3DAF" w:rsidRDefault="003A38CB" w:rsidP="003A38CB">
      <w:pPr>
        <w:pStyle w:val="Default"/>
        <w:rPr>
          <w:sz w:val="32"/>
          <w:szCs w:val="32"/>
        </w:rPr>
      </w:pPr>
      <w:r w:rsidRPr="001B3DAF">
        <w:rPr>
          <w:b/>
          <w:bCs/>
          <w:sz w:val="32"/>
          <w:szCs w:val="32"/>
        </w:rPr>
        <w:t xml:space="preserve">CALIFORNIA TRAUMA RECOVERY CENTER GRANT </w:t>
      </w:r>
    </w:p>
    <w:p w14:paraId="57A327A3" w14:textId="77777777" w:rsidR="001B3DAF" w:rsidRDefault="001B3DAF" w:rsidP="003A38CB">
      <w:pPr>
        <w:pStyle w:val="Default"/>
        <w:rPr>
          <w:color w:val="auto"/>
          <w:sz w:val="23"/>
          <w:szCs w:val="23"/>
        </w:rPr>
      </w:pPr>
    </w:p>
    <w:p w14:paraId="2934755A" w14:textId="5621FA90" w:rsidR="003A38CB" w:rsidRPr="006F7BE8" w:rsidRDefault="003A38CB" w:rsidP="003A38CB">
      <w:pPr>
        <w:pStyle w:val="Default"/>
        <w:rPr>
          <w:color w:val="auto"/>
          <w:sz w:val="23"/>
          <w:szCs w:val="23"/>
        </w:rPr>
      </w:pPr>
      <w:r w:rsidRPr="006F7BE8">
        <w:rPr>
          <w:color w:val="auto"/>
          <w:sz w:val="23"/>
          <w:szCs w:val="23"/>
        </w:rPr>
        <w:t>Fiscal Year</w:t>
      </w:r>
      <w:r w:rsidR="00C40010">
        <w:rPr>
          <w:color w:val="auto"/>
          <w:sz w:val="23"/>
          <w:szCs w:val="23"/>
        </w:rPr>
        <w:t xml:space="preserve"> 2021/22</w:t>
      </w:r>
      <w:r w:rsidRPr="006F7BE8">
        <w:rPr>
          <w:color w:val="auto"/>
          <w:sz w:val="23"/>
          <w:szCs w:val="23"/>
        </w:rPr>
        <w:t xml:space="preserve"> </w:t>
      </w:r>
      <w:r w:rsidR="00C40010">
        <w:rPr>
          <w:color w:val="auto"/>
          <w:sz w:val="23"/>
          <w:szCs w:val="23"/>
        </w:rPr>
        <w:t>(</w:t>
      </w:r>
      <w:r w:rsidRPr="006F7BE8">
        <w:rPr>
          <w:color w:val="auto"/>
          <w:sz w:val="23"/>
          <w:szCs w:val="23"/>
        </w:rPr>
        <w:t xml:space="preserve">July 1, </w:t>
      </w:r>
      <w:r w:rsidR="00C01639" w:rsidRPr="006F7BE8">
        <w:rPr>
          <w:color w:val="auto"/>
          <w:sz w:val="23"/>
          <w:szCs w:val="23"/>
        </w:rPr>
        <w:t>20</w:t>
      </w:r>
      <w:r w:rsidR="005B7797">
        <w:rPr>
          <w:color w:val="auto"/>
          <w:sz w:val="23"/>
          <w:szCs w:val="23"/>
        </w:rPr>
        <w:t>2</w:t>
      </w:r>
      <w:r w:rsidR="0042023B">
        <w:rPr>
          <w:color w:val="auto"/>
          <w:sz w:val="23"/>
          <w:szCs w:val="23"/>
        </w:rPr>
        <w:t>1</w:t>
      </w:r>
      <w:r w:rsidR="00C01639" w:rsidRPr="006F7BE8">
        <w:rPr>
          <w:color w:val="auto"/>
          <w:sz w:val="23"/>
          <w:szCs w:val="23"/>
        </w:rPr>
        <w:t xml:space="preserve"> </w:t>
      </w:r>
      <w:r w:rsidRPr="006F7BE8">
        <w:rPr>
          <w:color w:val="auto"/>
          <w:sz w:val="23"/>
          <w:szCs w:val="23"/>
        </w:rPr>
        <w:t xml:space="preserve">through June 30, </w:t>
      </w:r>
      <w:r w:rsidR="00C01639" w:rsidRPr="006F7BE8">
        <w:rPr>
          <w:color w:val="auto"/>
          <w:sz w:val="23"/>
          <w:szCs w:val="23"/>
        </w:rPr>
        <w:t>20</w:t>
      </w:r>
      <w:r w:rsidR="0042023B">
        <w:rPr>
          <w:color w:val="auto"/>
          <w:sz w:val="23"/>
          <w:szCs w:val="23"/>
        </w:rPr>
        <w:t>22</w:t>
      </w:r>
      <w:r w:rsidR="00C40010">
        <w:rPr>
          <w:color w:val="auto"/>
          <w:sz w:val="23"/>
          <w:szCs w:val="23"/>
        </w:rPr>
        <w:t>)</w:t>
      </w:r>
      <w:r w:rsidR="00C01639" w:rsidRPr="006F7BE8">
        <w:rPr>
          <w:color w:val="auto"/>
          <w:sz w:val="23"/>
          <w:szCs w:val="23"/>
        </w:rPr>
        <w:t xml:space="preserve"> </w:t>
      </w:r>
    </w:p>
    <w:p w14:paraId="5C86CF11" w14:textId="77777777" w:rsidR="001B3DAF" w:rsidRDefault="001B3DAF" w:rsidP="003A38CB">
      <w:pPr>
        <w:pStyle w:val="Default"/>
        <w:rPr>
          <w:sz w:val="23"/>
          <w:szCs w:val="23"/>
        </w:rPr>
      </w:pPr>
    </w:p>
    <w:p w14:paraId="3AC2A30E" w14:textId="77777777" w:rsidR="001B3DAF" w:rsidRDefault="001B3DAF" w:rsidP="003A38CB">
      <w:pPr>
        <w:pStyle w:val="Default"/>
        <w:rPr>
          <w:sz w:val="23"/>
          <w:szCs w:val="23"/>
        </w:rPr>
      </w:pPr>
    </w:p>
    <w:p w14:paraId="57F62ECB" w14:textId="77777777" w:rsidR="001B3DAF" w:rsidRDefault="001B3DAF" w:rsidP="003A38CB">
      <w:pPr>
        <w:pStyle w:val="Default"/>
        <w:rPr>
          <w:sz w:val="23"/>
          <w:szCs w:val="23"/>
        </w:rPr>
      </w:pPr>
    </w:p>
    <w:p w14:paraId="1A6E125E" w14:textId="77777777" w:rsidR="001B3DAF" w:rsidRDefault="001B3DAF" w:rsidP="003A38CB">
      <w:pPr>
        <w:pStyle w:val="Default"/>
        <w:rPr>
          <w:sz w:val="23"/>
          <w:szCs w:val="23"/>
        </w:rPr>
      </w:pPr>
    </w:p>
    <w:p w14:paraId="0BC353DA" w14:textId="77777777" w:rsidR="001B3DAF" w:rsidRDefault="001B3DAF" w:rsidP="003A38CB">
      <w:pPr>
        <w:pStyle w:val="Default"/>
        <w:rPr>
          <w:sz w:val="23"/>
          <w:szCs w:val="23"/>
        </w:rPr>
      </w:pPr>
    </w:p>
    <w:p w14:paraId="5F749268" w14:textId="77777777" w:rsidR="001B3DAF" w:rsidRDefault="001B3DAF" w:rsidP="003A38CB">
      <w:pPr>
        <w:pStyle w:val="Default"/>
        <w:rPr>
          <w:sz w:val="23"/>
          <w:szCs w:val="23"/>
        </w:rPr>
      </w:pPr>
    </w:p>
    <w:p w14:paraId="1621932C" w14:textId="77777777" w:rsidR="001B3DAF" w:rsidRDefault="001B3DAF" w:rsidP="003A38CB">
      <w:pPr>
        <w:pStyle w:val="Default"/>
        <w:rPr>
          <w:sz w:val="23"/>
          <w:szCs w:val="23"/>
        </w:rPr>
      </w:pPr>
    </w:p>
    <w:p w14:paraId="2117CE56" w14:textId="77777777" w:rsidR="001B3DAF" w:rsidRDefault="00650CD0" w:rsidP="003A38CB">
      <w:pPr>
        <w:pStyle w:val="Default"/>
        <w:rPr>
          <w:sz w:val="23"/>
          <w:szCs w:val="23"/>
        </w:rPr>
      </w:pPr>
      <w:r>
        <w:rPr>
          <w:noProof/>
          <w:sz w:val="23"/>
          <w:szCs w:val="23"/>
        </w:rPr>
        <w:drawing>
          <wp:inline distT="0" distB="0" distL="0" distR="0" wp14:anchorId="5796B7B5" wp14:editId="4C128214">
            <wp:extent cx="5943600" cy="24627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logo.JPG"/>
                    <pic:cNvPicPr/>
                  </pic:nvPicPr>
                  <pic:blipFill>
                    <a:blip r:embed="rId8">
                      <a:extLst>
                        <a:ext uri="{28A0092B-C50C-407E-A947-70E740481C1C}">
                          <a14:useLocalDpi xmlns:a14="http://schemas.microsoft.com/office/drawing/2010/main" val="0"/>
                        </a:ext>
                      </a:extLst>
                    </a:blip>
                    <a:stretch>
                      <a:fillRect/>
                    </a:stretch>
                  </pic:blipFill>
                  <pic:spPr>
                    <a:xfrm>
                      <a:off x="0" y="0"/>
                      <a:ext cx="5943600" cy="2462742"/>
                    </a:xfrm>
                    <a:prstGeom prst="rect">
                      <a:avLst/>
                    </a:prstGeom>
                  </pic:spPr>
                </pic:pic>
              </a:graphicData>
            </a:graphic>
          </wp:inline>
        </w:drawing>
      </w:r>
    </w:p>
    <w:p w14:paraId="29537A6E" w14:textId="77777777" w:rsidR="001B3DAF" w:rsidRDefault="001B3DAF" w:rsidP="003A38CB">
      <w:pPr>
        <w:pStyle w:val="Default"/>
        <w:rPr>
          <w:sz w:val="23"/>
          <w:szCs w:val="23"/>
        </w:rPr>
      </w:pPr>
    </w:p>
    <w:p w14:paraId="028CA8DA" w14:textId="77777777" w:rsidR="001B3DAF" w:rsidRDefault="001B3DAF" w:rsidP="003A38CB">
      <w:pPr>
        <w:pStyle w:val="Default"/>
        <w:rPr>
          <w:sz w:val="23"/>
          <w:szCs w:val="23"/>
        </w:rPr>
      </w:pPr>
    </w:p>
    <w:p w14:paraId="69367355" w14:textId="77777777" w:rsidR="001B3DAF" w:rsidRDefault="001B3DAF" w:rsidP="003A38CB">
      <w:pPr>
        <w:pStyle w:val="Default"/>
        <w:rPr>
          <w:sz w:val="23"/>
          <w:szCs w:val="23"/>
        </w:rPr>
      </w:pPr>
    </w:p>
    <w:p w14:paraId="68F3704D" w14:textId="77777777" w:rsidR="005F08DB" w:rsidRDefault="005F08DB" w:rsidP="003A38CB">
      <w:pPr>
        <w:pStyle w:val="Default"/>
        <w:rPr>
          <w:sz w:val="23"/>
          <w:szCs w:val="23"/>
        </w:rPr>
      </w:pPr>
    </w:p>
    <w:p w14:paraId="5E282472" w14:textId="77777777" w:rsidR="005F08DB" w:rsidRDefault="005F08DB" w:rsidP="003A38CB">
      <w:pPr>
        <w:pStyle w:val="Default"/>
        <w:rPr>
          <w:sz w:val="23"/>
          <w:szCs w:val="23"/>
        </w:rPr>
      </w:pPr>
    </w:p>
    <w:p w14:paraId="450B0786" w14:textId="77777777" w:rsidR="005F08DB" w:rsidRDefault="005F08DB" w:rsidP="003A38CB">
      <w:pPr>
        <w:pStyle w:val="Default"/>
        <w:rPr>
          <w:sz w:val="23"/>
          <w:szCs w:val="23"/>
        </w:rPr>
      </w:pPr>
    </w:p>
    <w:p w14:paraId="532C7EEA" w14:textId="77777777" w:rsidR="005F08DB" w:rsidRDefault="005F08DB" w:rsidP="003A38CB">
      <w:pPr>
        <w:pStyle w:val="Default"/>
        <w:rPr>
          <w:sz w:val="23"/>
          <w:szCs w:val="23"/>
        </w:rPr>
      </w:pPr>
    </w:p>
    <w:p w14:paraId="6D0DABAD" w14:textId="77777777" w:rsidR="005F08DB" w:rsidRDefault="005F08DB" w:rsidP="003A38CB">
      <w:pPr>
        <w:pStyle w:val="Default"/>
        <w:rPr>
          <w:sz w:val="23"/>
          <w:szCs w:val="23"/>
        </w:rPr>
      </w:pPr>
    </w:p>
    <w:p w14:paraId="2F355C4A" w14:textId="77777777" w:rsidR="003A38CB" w:rsidRPr="006F7BE8" w:rsidRDefault="003A38CB" w:rsidP="003A38CB">
      <w:pPr>
        <w:pStyle w:val="Default"/>
        <w:rPr>
          <w:sz w:val="23"/>
          <w:szCs w:val="23"/>
        </w:rPr>
      </w:pPr>
      <w:r w:rsidRPr="006F7BE8">
        <w:rPr>
          <w:sz w:val="23"/>
          <w:szCs w:val="23"/>
        </w:rPr>
        <w:t xml:space="preserve">STATE OF CALIFORNIA </w:t>
      </w:r>
    </w:p>
    <w:p w14:paraId="2D22518F" w14:textId="77777777" w:rsidR="003A38CB" w:rsidRPr="006F7BE8" w:rsidRDefault="003A38CB" w:rsidP="003A38CB">
      <w:pPr>
        <w:pStyle w:val="Default"/>
        <w:rPr>
          <w:sz w:val="23"/>
          <w:szCs w:val="23"/>
        </w:rPr>
      </w:pPr>
      <w:r w:rsidRPr="006F7BE8">
        <w:rPr>
          <w:sz w:val="23"/>
          <w:szCs w:val="23"/>
        </w:rPr>
        <w:t xml:space="preserve">California Victim Compensation Board </w:t>
      </w:r>
    </w:p>
    <w:p w14:paraId="189FAA27" w14:textId="77777777" w:rsidR="003A38CB" w:rsidRPr="006F7BE8" w:rsidRDefault="003A38CB" w:rsidP="003A38CB">
      <w:pPr>
        <w:pStyle w:val="Default"/>
        <w:rPr>
          <w:sz w:val="23"/>
          <w:szCs w:val="23"/>
        </w:rPr>
      </w:pPr>
      <w:r w:rsidRPr="006F7BE8">
        <w:rPr>
          <w:sz w:val="23"/>
          <w:szCs w:val="23"/>
        </w:rPr>
        <w:t xml:space="preserve">400 R Street </w:t>
      </w:r>
    </w:p>
    <w:p w14:paraId="404F4D6B" w14:textId="77777777" w:rsidR="003A38CB" w:rsidRPr="006F7BE8" w:rsidRDefault="003A38CB" w:rsidP="003A38CB">
      <w:pPr>
        <w:pStyle w:val="Default"/>
        <w:rPr>
          <w:sz w:val="23"/>
          <w:szCs w:val="23"/>
        </w:rPr>
      </w:pPr>
      <w:r w:rsidRPr="006F7BE8">
        <w:rPr>
          <w:sz w:val="23"/>
          <w:szCs w:val="23"/>
        </w:rPr>
        <w:t xml:space="preserve">Sacramento, CA 95811 </w:t>
      </w:r>
    </w:p>
    <w:p w14:paraId="3D59E500" w14:textId="77777777" w:rsidR="003A38CB" w:rsidRPr="006F7BE8" w:rsidRDefault="003A38CB" w:rsidP="003A38CB">
      <w:pPr>
        <w:pStyle w:val="Default"/>
        <w:rPr>
          <w:sz w:val="23"/>
          <w:szCs w:val="23"/>
        </w:rPr>
      </w:pPr>
      <w:r w:rsidRPr="006F7BE8">
        <w:rPr>
          <w:sz w:val="23"/>
          <w:szCs w:val="23"/>
        </w:rPr>
        <w:t xml:space="preserve">Telephone: (916) 491-6469 </w:t>
      </w:r>
    </w:p>
    <w:p w14:paraId="3CB316C1" w14:textId="6F0012B5" w:rsidR="00184720" w:rsidRDefault="00F232E0" w:rsidP="006F7BE8">
      <w:pPr>
        <w:pStyle w:val="Default"/>
        <w:rPr>
          <w:sz w:val="23"/>
          <w:szCs w:val="23"/>
        </w:rPr>
      </w:pPr>
      <w:r w:rsidRPr="00F232E0">
        <w:rPr>
          <w:sz w:val="23"/>
          <w:szCs w:val="23"/>
        </w:rPr>
        <w:t>CA</w:t>
      </w:r>
      <w:r w:rsidR="003A38CB" w:rsidRPr="006F7BE8">
        <w:rPr>
          <w:sz w:val="23"/>
          <w:szCs w:val="23"/>
        </w:rPr>
        <w:t>FAX: (916) 491-6413 Website: www.</w:t>
      </w:r>
      <w:r w:rsidR="00013B3E">
        <w:rPr>
          <w:sz w:val="23"/>
          <w:szCs w:val="23"/>
        </w:rPr>
        <w:t>victims</w:t>
      </w:r>
      <w:r w:rsidR="003A38CB" w:rsidRPr="006F7BE8">
        <w:rPr>
          <w:sz w:val="23"/>
          <w:szCs w:val="23"/>
        </w:rPr>
        <w:t xml:space="preserve">.ca.gov </w:t>
      </w:r>
    </w:p>
    <w:p w14:paraId="70DAA2FC" w14:textId="77777777" w:rsidR="001C3701" w:rsidRPr="006F7BE8" w:rsidRDefault="001C3701" w:rsidP="006F7BE8">
      <w:pPr>
        <w:pStyle w:val="Default"/>
        <w:rPr>
          <w:sz w:val="23"/>
          <w:szCs w:val="23"/>
        </w:rPr>
      </w:pPr>
    </w:p>
    <w:p w14:paraId="3D7CB737" w14:textId="77777777" w:rsidR="00184720" w:rsidRPr="006F7BE8" w:rsidRDefault="003A38CB" w:rsidP="00277CED">
      <w:pPr>
        <w:pStyle w:val="TOC2"/>
      </w:pPr>
      <w:r w:rsidRPr="006F7BE8">
        <w:lastRenderedPageBreak/>
        <w:t xml:space="preserve">Table of Contents </w:t>
      </w:r>
    </w:p>
    <w:p w14:paraId="748D8F4C" w14:textId="77777777" w:rsidR="00184720" w:rsidRPr="006F7BE8" w:rsidRDefault="00184720" w:rsidP="00277CED">
      <w:pPr>
        <w:pStyle w:val="TOC2"/>
      </w:pPr>
    </w:p>
    <w:p w14:paraId="57B609BA" w14:textId="224E65A3" w:rsidR="00EF4385" w:rsidRDefault="00184720">
      <w:pPr>
        <w:pStyle w:val="TOC2"/>
        <w:rPr>
          <w:rFonts w:eastAsiaTheme="minorEastAsia"/>
          <w:noProof/>
        </w:rPr>
      </w:pPr>
      <w:r w:rsidRPr="006F7BE8">
        <w:rPr>
          <w:rFonts w:ascii="Cambria" w:hAnsi="Cambria" w:cs="Cambria"/>
          <w:b/>
          <w:bCs/>
          <w:sz w:val="28"/>
          <w:szCs w:val="28"/>
        </w:rPr>
        <w:fldChar w:fldCharType="begin"/>
      </w:r>
      <w:r w:rsidRPr="006F7BE8">
        <w:rPr>
          <w:rFonts w:ascii="Cambria" w:hAnsi="Cambria" w:cs="Cambria"/>
          <w:b/>
          <w:bCs/>
          <w:sz w:val="28"/>
          <w:szCs w:val="28"/>
        </w:rPr>
        <w:instrText xml:space="preserve"> TOC \o "1-3" \h \z \u </w:instrText>
      </w:r>
      <w:r w:rsidRPr="006F7BE8">
        <w:rPr>
          <w:rFonts w:ascii="Cambria" w:hAnsi="Cambria" w:cs="Cambria"/>
          <w:b/>
          <w:bCs/>
          <w:sz w:val="28"/>
          <w:szCs w:val="28"/>
        </w:rPr>
        <w:fldChar w:fldCharType="separate"/>
      </w:r>
      <w:bookmarkStart w:id="0" w:name="_Hlk25050178"/>
      <w:r w:rsidR="00EF4385" w:rsidRPr="007B62C7">
        <w:rPr>
          <w:rStyle w:val="Hyperlink"/>
          <w:noProof/>
        </w:rPr>
        <w:fldChar w:fldCharType="begin"/>
      </w:r>
      <w:r w:rsidR="00EF4385" w:rsidRPr="007B62C7">
        <w:rPr>
          <w:rStyle w:val="Hyperlink"/>
          <w:noProof/>
        </w:rPr>
        <w:instrText xml:space="preserve"> </w:instrText>
      </w:r>
      <w:r w:rsidR="00EF4385">
        <w:rPr>
          <w:noProof/>
        </w:rPr>
        <w:instrText>HYPERLINK \l "_Toc26533584"</w:instrText>
      </w:r>
      <w:r w:rsidR="00EF4385" w:rsidRPr="007B62C7">
        <w:rPr>
          <w:rStyle w:val="Hyperlink"/>
          <w:noProof/>
        </w:rPr>
        <w:instrText xml:space="preserve"> </w:instrText>
      </w:r>
      <w:r w:rsidR="00EF4385" w:rsidRPr="007B62C7">
        <w:rPr>
          <w:rStyle w:val="Hyperlink"/>
          <w:noProof/>
        </w:rPr>
        <w:fldChar w:fldCharType="separate"/>
      </w:r>
      <w:r w:rsidR="00EF4385" w:rsidRPr="007B62C7">
        <w:rPr>
          <w:rStyle w:val="Hyperlink"/>
          <w:noProof/>
        </w:rPr>
        <w:t>1. Introduction</w:t>
      </w:r>
      <w:r w:rsidR="00EF4385">
        <w:rPr>
          <w:noProof/>
          <w:webHidden/>
        </w:rPr>
        <w:tab/>
      </w:r>
      <w:r w:rsidR="00EF4385">
        <w:rPr>
          <w:noProof/>
          <w:webHidden/>
        </w:rPr>
        <w:fldChar w:fldCharType="begin"/>
      </w:r>
      <w:r w:rsidR="00EF4385">
        <w:rPr>
          <w:noProof/>
          <w:webHidden/>
        </w:rPr>
        <w:instrText xml:space="preserve"> PAGEREF _Toc26533584 \h </w:instrText>
      </w:r>
      <w:r w:rsidR="00EF4385">
        <w:rPr>
          <w:noProof/>
          <w:webHidden/>
        </w:rPr>
      </w:r>
      <w:r w:rsidR="00EF4385">
        <w:rPr>
          <w:noProof/>
          <w:webHidden/>
        </w:rPr>
        <w:fldChar w:fldCharType="separate"/>
      </w:r>
      <w:r w:rsidR="00CD237F">
        <w:rPr>
          <w:noProof/>
          <w:webHidden/>
        </w:rPr>
        <w:t>3</w:t>
      </w:r>
      <w:r w:rsidR="00EF4385">
        <w:rPr>
          <w:noProof/>
          <w:webHidden/>
        </w:rPr>
        <w:fldChar w:fldCharType="end"/>
      </w:r>
      <w:r w:rsidR="00EF4385" w:rsidRPr="007B62C7">
        <w:rPr>
          <w:rStyle w:val="Hyperlink"/>
          <w:noProof/>
        </w:rPr>
        <w:fldChar w:fldCharType="end"/>
      </w:r>
    </w:p>
    <w:p w14:paraId="7DA012C9" w14:textId="34747888" w:rsidR="00EF4385" w:rsidRDefault="008C0F49">
      <w:pPr>
        <w:pStyle w:val="TOC2"/>
        <w:rPr>
          <w:rFonts w:eastAsiaTheme="minorEastAsia"/>
          <w:noProof/>
        </w:rPr>
      </w:pPr>
      <w:hyperlink w:anchor="_Toc26533585" w:history="1">
        <w:r w:rsidR="00EF4385" w:rsidRPr="007B62C7">
          <w:rPr>
            <w:rStyle w:val="Hyperlink"/>
            <w:noProof/>
          </w:rPr>
          <w:t>2. Purpose of the Grant Program</w:t>
        </w:r>
        <w:r w:rsidR="00EF4385">
          <w:rPr>
            <w:noProof/>
            <w:webHidden/>
          </w:rPr>
          <w:tab/>
        </w:r>
        <w:r w:rsidR="00EF4385">
          <w:rPr>
            <w:noProof/>
            <w:webHidden/>
          </w:rPr>
          <w:fldChar w:fldCharType="begin"/>
        </w:r>
        <w:r w:rsidR="00EF4385">
          <w:rPr>
            <w:noProof/>
            <w:webHidden/>
          </w:rPr>
          <w:instrText xml:space="preserve"> PAGEREF _Toc26533585 \h </w:instrText>
        </w:r>
        <w:r w:rsidR="00EF4385">
          <w:rPr>
            <w:noProof/>
            <w:webHidden/>
          </w:rPr>
        </w:r>
        <w:r w:rsidR="00EF4385">
          <w:rPr>
            <w:noProof/>
            <w:webHidden/>
          </w:rPr>
          <w:fldChar w:fldCharType="separate"/>
        </w:r>
        <w:r w:rsidR="00CD237F">
          <w:rPr>
            <w:noProof/>
            <w:webHidden/>
          </w:rPr>
          <w:t>3</w:t>
        </w:r>
        <w:r w:rsidR="00EF4385">
          <w:rPr>
            <w:noProof/>
            <w:webHidden/>
          </w:rPr>
          <w:fldChar w:fldCharType="end"/>
        </w:r>
      </w:hyperlink>
    </w:p>
    <w:p w14:paraId="00FDB0A5" w14:textId="49C97CCC" w:rsidR="00EF4385" w:rsidRDefault="008C0F49">
      <w:pPr>
        <w:pStyle w:val="TOC2"/>
        <w:rPr>
          <w:rFonts w:eastAsiaTheme="minorEastAsia"/>
          <w:noProof/>
        </w:rPr>
      </w:pPr>
      <w:hyperlink w:anchor="_Toc26533586" w:history="1">
        <w:r w:rsidR="00EF4385" w:rsidRPr="007B62C7">
          <w:rPr>
            <w:rStyle w:val="Hyperlink"/>
            <w:noProof/>
          </w:rPr>
          <w:t>3. Key Application Dates</w:t>
        </w:r>
        <w:r w:rsidR="00EF4385">
          <w:rPr>
            <w:noProof/>
            <w:webHidden/>
          </w:rPr>
          <w:tab/>
        </w:r>
        <w:r w:rsidR="00EF4385">
          <w:rPr>
            <w:noProof/>
            <w:webHidden/>
          </w:rPr>
          <w:fldChar w:fldCharType="begin"/>
        </w:r>
        <w:r w:rsidR="00EF4385">
          <w:rPr>
            <w:noProof/>
            <w:webHidden/>
          </w:rPr>
          <w:instrText xml:space="preserve"> PAGEREF _Toc26533586 \h </w:instrText>
        </w:r>
        <w:r w:rsidR="00EF4385">
          <w:rPr>
            <w:noProof/>
            <w:webHidden/>
          </w:rPr>
        </w:r>
        <w:r w:rsidR="00EF4385">
          <w:rPr>
            <w:noProof/>
            <w:webHidden/>
          </w:rPr>
          <w:fldChar w:fldCharType="separate"/>
        </w:r>
        <w:r w:rsidR="00CD237F">
          <w:rPr>
            <w:noProof/>
            <w:webHidden/>
          </w:rPr>
          <w:t>3</w:t>
        </w:r>
        <w:r w:rsidR="00EF4385">
          <w:rPr>
            <w:noProof/>
            <w:webHidden/>
          </w:rPr>
          <w:fldChar w:fldCharType="end"/>
        </w:r>
      </w:hyperlink>
    </w:p>
    <w:p w14:paraId="1F6E54BA" w14:textId="47908DD8" w:rsidR="00EF4385" w:rsidRDefault="008C0F49">
      <w:pPr>
        <w:pStyle w:val="TOC2"/>
        <w:rPr>
          <w:rFonts w:eastAsiaTheme="minorEastAsia"/>
          <w:noProof/>
        </w:rPr>
      </w:pPr>
      <w:hyperlink w:anchor="_Toc26533587" w:history="1">
        <w:r w:rsidR="00EF4385" w:rsidRPr="007B62C7">
          <w:rPr>
            <w:rStyle w:val="Hyperlink"/>
            <w:noProof/>
          </w:rPr>
          <w:t>4. Eligibility Criteria and Minimum Qualifications</w:t>
        </w:r>
        <w:r w:rsidR="00EF4385">
          <w:rPr>
            <w:noProof/>
            <w:webHidden/>
          </w:rPr>
          <w:tab/>
        </w:r>
        <w:r w:rsidR="00EF4385">
          <w:rPr>
            <w:noProof/>
            <w:webHidden/>
          </w:rPr>
          <w:fldChar w:fldCharType="begin"/>
        </w:r>
        <w:r w:rsidR="00EF4385">
          <w:rPr>
            <w:noProof/>
            <w:webHidden/>
          </w:rPr>
          <w:instrText xml:space="preserve"> PAGEREF _Toc26533587 \h </w:instrText>
        </w:r>
        <w:r w:rsidR="00EF4385">
          <w:rPr>
            <w:noProof/>
            <w:webHidden/>
          </w:rPr>
        </w:r>
        <w:r w:rsidR="00EF4385">
          <w:rPr>
            <w:noProof/>
            <w:webHidden/>
          </w:rPr>
          <w:fldChar w:fldCharType="separate"/>
        </w:r>
        <w:r w:rsidR="00CD237F">
          <w:rPr>
            <w:noProof/>
            <w:webHidden/>
          </w:rPr>
          <w:t>3</w:t>
        </w:r>
        <w:r w:rsidR="00EF4385">
          <w:rPr>
            <w:noProof/>
            <w:webHidden/>
          </w:rPr>
          <w:fldChar w:fldCharType="end"/>
        </w:r>
      </w:hyperlink>
    </w:p>
    <w:p w14:paraId="66B5328B" w14:textId="68890EB8" w:rsidR="00EF4385" w:rsidRDefault="008C0F49">
      <w:pPr>
        <w:pStyle w:val="TOC2"/>
        <w:rPr>
          <w:rFonts w:eastAsiaTheme="minorEastAsia"/>
          <w:noProof/>
        </w:rPr>
      </w:pPr>
      <w:hyperlink w:anchor="_Toc26533588" w:history="1">
        <w:r w:rsidR="00EF4385" w:rsidRPr="007B62C7">
          <w:rPr>
            <w:rStyle w:val="Hyperlink"/>
            <w:noProof/>
          </w:rPr>
          <w:t>5. Questions</w:t>
        </w:r>
        <w:r w:rsidR="00EF4385">
          <w:rPr>
            <w:noProof/>
            <w:webHidden/>
          </w:rPr>
          <w:tab/>
        </w:r>
        <w:r w:rsidR="00EF4385">
          <w:rPr>
            <w:noProof/>
            <w:webHidden/>
          </w:rPr>
          <w:fldChar w:fldCharType="begin"/>
        </w:r>
        <w:r w:rsidR="00EF4385">
          <w:rPr>
            <w:noProof/>
            <w:webHidden/>
          </w:rPr>
          <w:instrText xml:space="preserve"> PAGEREF _Toc26533588 \h </w:instrText>
        </w:r>
        <w:r w:rsidR="00EF4385">
          <w:rPr>
            <w:noProof/>
            <w:webHidden/>
          </w:rPr>
        </w:r>
        <w:r w:rsidR="00EF4385">
          <w:rPr>
            <w:noProof/>
            <w:webHidden/>
          </w:rPr>
          <w:fldChar w:fldCharType="separate"/>
        </w:r>
        <w:r w:rsidR="00CD237F">
          <w:rPr>
            <w:noProof/>
            <w:webHidden/>
          </w:rPr>
          <w:t>3</w:t>
        </w:r>
        <w:r w:rsidR="00EF4385">
          <w:rPr>
            <w:noProof/>
            <w:webHidden/>
          </w:rPr>
          <w:fldChar w:fldCharType="end"/>
        </w:r>
      </w:hyperlink>
    </w:p>
    <w:p w14:paraId="5060F512" w14:textId="1C118D5F" w:rsidR="00EF4385" w:rsidRDefault="008C0F49">
      <w:pPr>
        <w:pStyle w:val="TOC2"/>
        <w:rPr>
          <w:rFonts w:eastAsiaTheme="minorEastAsia"/>
          <w:noProof/>
        </w:rPr>
      </w:pPr>
      <w:hyperlink w:anchor="_Toc26533589" w:history="1">
        <w:r w:rsidR="00EF4385" w:rsidRPr="007B62C7">
          <w:rPr>
            <w:rStyle w:val="Hyperlink"/>
            <w:noProof/>
          </w:rPr>
          <w:t>6. Application Submission</w:t>
        </w:r>
        <w:r w:rsidR="00EF4385">
          <w:rPr>
            <w:noProof/>
            <w:webHidden/>
          </w:rPr>
          <w:tab/>
        </w:r>
        <w:r w:rsidR="00EF4385">
          <w:rPr>
            <w:noProof/>
            <w:webHidden/>
          </w:rPr>
          <w:fldChar w:fldCharType="begin"/>
        </w:r>
        <w:r w:rsidR="00EF4385">
          <w:rPr>
            <w:noProof/>
            <w:webHidden/>
          </w:rPr>
          <w:instrText xml:space="preserve"> PAGEREF _Toc26533589 \h </w:instrText>
        </w:r>
        <w:r w:rsidR="00EF4385">
          <w:rPr>
            <w:noProof/>
            <w:webHidden/>
          </w:rPr>
        </w:r>
        <w:r w:rsidR="00EF4385">
          <w:rPr>
            <w:noProof/>
            <w:webHidden/>
          </w:rPr>
          <w:fldChar w:fldCharType="separate"/>
        </w:r>
        <w:r w:rsidR="00CD237F">
          <w:rPr>
            <w:noProof/>
            <w:webHidden/>
          </w:rPr>
          <w:t>3</w:t>
        </w:r>
        <w:r w:rsidR="00EF4385">
          <w:rPr>
            <w:noProof/>
            <w:webHidden/>
          </w:rPr>
          <w:fldChar w:fldCharType="end"/>
        </w:r>
      </w:hyperlink>
    </w:p>
    <w:p w14:paraId="32A68B5B" w14:textId="7EC2D963" w:rsidR="00EF4385" w:rsidRDefault="008C0F49">
      <w:pPr>
        <w:pStyle w:val="TOC2"/>
        <w:rPr>
          <w:rFonts w:eastAsiaTheme="minorEastAsia"/>
          <w:noProof/>
        </w:rPr>
      </w:pPr>
      <w:hyperlink w:anchor="_Toc26533590" w:history="1">
        <w:r w:rsidR="00EF4385" w:rsidRPr="007B62C7">
          <w:rPr>
            <w:rStyle w:val="Hyperlink"/>
            <w:noProof/>
          </w:rPr>
          <w:t>7. Application Instructions</w:t>
        </w:r>
        <w:r w:rsidR="00EF4385">
          <w:rPr>
            <w:noProof/>
            <w:webHidden/>
          </w:rPr>
          <w:tab/>
        </w:r>
        <w:r w:rsidR="00EF4385">
          <w:rPr>
            <w:noProof/>
            <w:webHidden/>
          </w:rPr>
          <w:fldChar w:fldCharType="begin"/>
        </w:r>
        <w:r w:rsidR="00EF4385">
          <w:rPr>
            <w:noProof/>
            <w:webHidden/>
          </w:rPr>
          <w:instrText xml:space="preserve"> PAGEREF _Toc26533590 \h </w:instrText>
        </w:r>
        <w:r w:rsidR="00EF4385">
          <w:rPr>
            <w:noProof/>
            <w:webHidden/>
          </w:rPr>
        </w:r>
        <w:r w:rsidR="00EF4385">
          <w:rPr>
            <w:noProof/>
            <w:webHidden/>
          </w:rPr>
          <w:fldChar w:fldCharType="separate"/>
        </w:r>
        <w:r w:rsidR="00CD237F">
          <w:rPr>
            <w:noProof/>
            <w:webHidden/>
          </w:rPr>
          <w:t>4</w:t>
        </w:r>
        <w:r w:rsidR="00EF4385">
          <w:rPr>
            <w:noProof/>
            <w:webHidden/>
          </w:rPr>
          <w:fldChar w:fldCharType="end"/>
        </w:r>
      </w:hyperlink>
    </w:p>
    <w:p w14:paraId="3A3CF767" w14:textId="0AD2C3C1" w:rsidR="00EF4385" w:rsidRDefault="008C0F49">
      <w:pPr>
        <w:pStyle w:val="TOC2"/>
        <w:rPr>
          <w:rFonts w:eastAsiaTheme="minorEastAsia"/>
          <w:noProof/>
        </w:rPr>
      </w:pPr>
      <w:hyperlink w:anchor="_Toc26533591" w:history="1">
        <w:r w:rsidR="00EF4385" w:rsidRPr="007B62C7">
          <w:rPr>
            <w:rStyle w:val="Hyperlink"/>
            <w:noProof/>
          </w:rPr>
          <w:t>8. Available Funds</w:t>
        </w:r>
        <w:r w:rsidR="00EF4385">
          <w:rPr>
            <w:noProof/>
            <w:webHidden/>
          </w:rPr>
          <w:tab/>
        </w:r>
        <w:r w:rsidR="00EF4385">
          <w:rPr>
            <w:noProof/>
            <w:webHidden/>
          </w:rPr>
          <w:fldChar w:fldCharType="begin"/>
        </w:r>
        <w:r w:rsidR="00EF4385">
          <w:rPr>
            <w:noProof/>
            <w:webHidden/>
          </w:rPr>
          <w:instrText xml:space="preserve"> PAGEREF _Toc26533591 \h </w:instrText>
        </w:r>
        <w:r w:rsidR="00EF4385">
          <w:rPr>
            <w:noProof/>
            <w:webHidden/>
          </w:rPr>
        </w:r>
        <w:r w:rsidR="00EF4385">
          <w:rPr>
            <w:noProof/>
            <w:webHidden/>
          </w:rPr>
          <w:fldChar w:fldCharType="separate"/>
        </w:r>
        <w:r w:rsidR="00CD237F">
          <w:rPr>
            <w:noProof/>
            <w:webHidden/>
          </w:rPr>
          <w:t>5</w:t>
        </w:r>
        <w:r w:rsidR="00EF4385">
          <w:rPr>
            <w:noProof/>
            <w:webHidden/>
          </w:rPr>
          <w:fldChar w:fldCharType="end"/>
        </w:r>
      </w:hyperlink>
    </w:p>
    <w:p w14:paraId="4FEBFFFC" w14:textId="124CD7A7" w:rsidR="00EF4385" w:rsidRDefault="008C0F49">
      <w:pPr>
        <w:pStyle w:val="TOC2"/>
        <w:rPr>
          <w:rFonts w:eastAsiaTheme="minorEastAsia"/>
          <w:noProof/>
        </w:rPr>
      </w:pPr>
      <w:hyperlink w:anchor="_Toc26533592" w:history="1">
        <w:r w:rsidR="00EF4385" w:rsidRPr="007B62C7">
          <w:rPr>
            <w:rStyle w:val="Hyperlink"/>
            <w:noProof/>
          </w:rPr>
          <w:t>9. Eligible Costs</w:t>
        </w:r>
        <w:r w:rsidR="00EF4385">
          <w:rPr>
            <w:noProof/>
            <w:webHidden/>
          </w:rPr>
          <w:tab/>
        </w:r>
        <w:r w:rsidR="00EF4385">
          <w:rPr>
            <w:noProof/>
            <w:webHidden/>
          </w:rPr>
          <w:fldChar w:fldCharType="begin"/>
        </w:r>
        <w:r w:rsidR="00EF4385">
          <w:rPr>
            <w:noProof/>
            <w:webHidden/>
          </w:rPr>
          <w:instrText xml:space="preserve"> PAGEREF _Toc26533592 \h </w:instrText>
        </w:r>
        <w:r w:rsidR="00EF4385">
          <w:rPr>
            <w:noProof/>
            <w:webHidden/>
          </w:rPr>
        </w:r>
        <w:r w:rsidR="00EF4385">
          <w:rPr>
            <w:noProof/>
            <w:webHidden/>
          </w:rPr>
          <w:fldChar w:fldCharType="separate"/>
        </w:r>
        <w:r w:rsidR="00CD237F">
          <w:rPr>
            <w:noProof/>
            <w:webHidden/>
          </w:rPr>
          <w:t>5</w:t>
        </w:r>
        <w:r w:rsidR="00EF4385">
          <w:rPr>
            <w:noProof/>
            <w:webHidden/>
          </w:rPr>
          <w:fldChar w:fldCharType="end"/>
        </w:r>
      </w:hyperlink>
    </w:p>
    <w:p w14:paraId="2BC85106" w14:textId="556162F9" w:rsidR="00EF4385" w:rsidRDefault="008C0F49">
      <w:pPr>
        <w:pStyle w:val="TOC2"/>
        <w:rPr>
          <w:rFonts w:eastAsiaTheme="minorEastAsia"/>
          <w:noProof/>
        </w:rPr>
      </w:pPr>
      <w:hyperlink w:anchor="_Toc26533593" w:history="1">
        <w:r w:rsidR="00EF4385" w:rsidRPr="007B62C7">
          <w:rPr>
            <w:rStyle w:val="Hyperlink"/>
            <w:noProof/>
          </w:rPr>
          <w:t>10. Ineligible Costs</w:t>
        </w:r>
        <w:r w:rsidR="00EF4385">
          <w:rPr>
            <w:noProof/>
            <w:webHidden/>
          </w:rPr>
          <w:tab/>
        </w:r>
        <w:r w:rsidR="00EF4385">
          <w:rPr>
            <w:noProof/>
            <w:webHidden/>
          </w:rPr>
          <w:fldChar w:fldCharType="begin"/>
        </w:r>
        <w:r w:rsidR="00EF4385">
          <w:rPr>
            <w:noProof/>
            <w:webHidden/>
          </w:rPr>
          <w:instrText xml:space="preserve"> PAGEREF _Toc26533593 \h </w:instrText>
        </w:r>
        <w:r w:rsidR="00EF4385">
          <w:rPr>
            <w:noProof/>
            <w:webHidden/>
          </w:rPr>
        </w:r>
        <w:r w:rsidR="00EF4385">
          <w:rPr>
            <w:noProof/>
            <w:webHidden/>
          </w:rPr>
          <w:fldChar w:fldCharType="separate"/>
        </w:r>
        <w:r w:rsidR="00CD237F">
          <w:rPr>
            <w:noProof/>
            <w:webHidden/>
          </w:rPr>
          <w:t>7</w:t>
        </w:r>
        <w:r w:rsidR="00EF4385">
          <w:rPr>
            <w:noProof/>
            <w:webHidden/>
          </w:rPr>
          <w:fldChar w:fldCharType="end"/>
        </w:r>
      </w:hyperlink>
    </w:p>
    <w:p w14:paraId="3ED90AED" w14:textId="2C1C82BC" w:rsidR="00EF4385" w:rsidRDefault="008C0F49">
      <w:pPr>
        <w:pStyle w:val="TOC2"/>
        <w:rPr>
          <w:rFonts w:eastAsiaTheme="minorEastAsia"/>
          <w:noProof/>
        </w:rPr>
      </w:pPr>
      <w:hyperlink w:anchor="_Toc26533594" w:history="1">
        <w:r w:rsidR="00EF4385" w:rsidRPr="007B62C7">
          <w:rPr>
            <w:rStyle w:val="Hyperlink"/>
            <w:noProof/>
          </w:rPr>
          <w:t>11. Reporting Requirements</w:t>
        </w:r>
        <w:r w:rsidR="00EF4385">
          <w:rPr>
            <w:noProof/>
            <w:webHidden/>
          </w:rPr>
          <w:tab/>
        </w:r>
        <w:r w:rsidR="00EF4385">
          <w:rPr>
            <w:noProof/>
            <w:webHidden/>
          </w:rPr>
          <w:fldChar w:fldCharType="begin"/>
        </w:r>
        <w:r w:rsidR="00EF4385">
          <w:rPr>
            <w:noProof/>
            <w:webHidden/>
          </w:rPr>
          <w:instrText xml:space="preserve"> PAGEREF _Toc26533594 \h </w:instrText>
        </w:r>
        <w:r w:rsidR="00EF4385">
          <w:rPr>
            <w:noProof/>
            <w:webHidden/>
          </w:rPr>
        </w:r>
        <w:r w:rsidR="00EF4385">
          <w:rPr>
            <w:noProof/>
            <w:webHidden/>
          </w:rPr>
          <w:fldChar w:fldCharType="separate"/>
        </w:r>
        <w:r w:rsidR="00CD237F">
          <w:rPr>
            <w:noProof/>
            <w:webHidden/>
          </w:rPr>
          <w:t>8</w:t>
        </w:r>
        <w:r w:rsidR="00EF4385">
          <w:rPr>
            <w:noProof/>
            <w:webHidden/>
          </w:rPr>
          <w:fldChar w:fldCharType="end"/>
        </w:r>
      </w:hyperlink>
    </w:p>
    <w:p w14:paraId="27850555" w14:textId="13F0AF21" w:rsidR="00EF4385" w:rsidRDefault="008C0F49">
      <w:pPr>
        <w:pStyle w:val="TOC2"/>
        <w:rPr>
          <w:rFonts w:eastAsiaTheme="minorEastAsia"/>
          <w:noProof/>
        </w:rPr>
      </w:pPr>
      <w:hyperlink w:anchor="_Toc26533595" w:history="1">
        <w:r w:rsidR="00EF4385" w:rsidRPr="007B62C7">
          <w:rPr>
            <w:rStyle w:val="Hyperlink"/>
            <w:noProof/>
          </w:rPr>
          <w:t>12. TRC Grant Oversight</w:t>
        </w:r>
        <w:r w:rsidR="00EF4385">
          <w:rPr>
            <w:noProof/>
            <w:webHidden/>
          </w:rPr>
          <w:tab/>
        </w:r>
        <w:r w:rsidR="00EF4385">
          <w:rPr>
            <w:noProof/>
            <w:webHidden/>
          </w:rPr>
          <w:fldChar w:fldCharType="begin"/>
        </w:r>
        <w:r w:rsidR="00EF4385">
          <w:rPr>
            <w:noProof/>
            <w:webHidden/>
          </w:rPr>
          <w:instrText xml:space="preserve"> PAGEREF _Toc26533595 \h </w:instrText>
        </w:r>
        <w:r w:rsidR="00EF4385">
          <w:rPr>
            <w:noProof/>
            <w:webHidden/>
          </w:rPr>
        </w:r>
        <w:r w:rsidR="00EF4385">
          <w:rPr>
            <w:noProof/>
            <w:webHidden/>
          </w:rPr>
          <w:fldChar w:fldCharType="separate"/>
        </w:r>
        <w:r w:rsidR="00CD237F">
          <w:rPr>
            <w:noProof/>
            <w:webHidden/>
          </w:rPr>
          <w:t>8</w:t>
        </w:r>
        <w:r w:rsidR="00EF4385">
          <w:rPr>
            <w:noProof/>
            <w:webHidden/>
          </w:rPr>
          <w:fldChar w:fldCharType="end"/>
        </w:r>
      </w:hyperlink>
    </w:p>
    <w:p w14:paraId="352A628D" w14:textId="5E94A72B" w:rsidR="00EF4385" w:rsidRDefault="008C0F49">
      <w:pPr>
        <w:pStyle w:val="TOC2"/>
        <w:rPr>
          <w:rFonts w:eastAsiaTheme="minorEastAsia"/>
          <w:noProof/>
        </w:rPr>
      </w:pPr>
      <w:hyperlink w:anchor="_Toc26533596" w:history="1">
        <w:r w:rsidR="00EF4385" w:rsidRPr="007B62C7">
          <w:rPr>
            <w:rStyle w:val="Hyperlink"/>
            <w:noProof/>
          </w:rPr>
          <w:t>13. Grant Review and Award Process</w:t>
        </w:r>
        <w:r w:rsidR="00EF4385">
          <w:rPr>
            <w:noProof/>
            <w:webHidden/>
          </w:rPr>
          <w:tab/>
        </w:r>
        <w:r w:rsidR="00EF4385">
          <w:rPr>
            <w:noProof/>
            <w:webHidden/>
          </w:rPr>
          <w:fldChar w:fldCharType="begin"/>
        </w:r>
        <w:r w:rsidR="00EF4385">
          <w:rPr>
            <w:noProof/>
            <w:webHidden/>
          </w:rPr>
          <w:instrText xml:space="preserve"> PAGEREF _Toc26533596 \h </w:instrText>
        </w:r>
        <w:r w:rsidR="00EF4385">
          <w:rPr>
            <w:noProof/>
            <w:webHidden/>
          </w:rPr>
        </w:r>
        <w:r w:rsidR="00EF4385">
          <w:rPr>
            <w:noProof/>
            <w:webHidden/>
          </w:rPr>
          <w:fldChar w:fldCharType="separate"/>
        </w:r>
        <w:r w:rsidR="00CD237F">
          <w:rPr>
            <w:noProof/>
            <w:webHidden/>
          </w:rPr>
          <w:t>9</w:t>
        </w:r>
        <w:r w:rsidR="00EF4385">
          <w:rPr>
            <w:noProof/>
            <w:webHidden/>
          </w:rPr>
          <w:fldChar w:fldCharType="end"/>
        </w:r>
      </w:hyperlink>
    </w:p>
    <w:p w14:paraId="36137871" w14:textId="601FA1C9" w:rsidR="00EF4385" w:rsidRDefault="008C0F49">
      <w:pPr>
        <w:pStyle w:val="TOC2"/>
        <w:rPr>
          <w:rFonts w:eastAsiaTheme="minorEastAsia"/>
          <w:noProof/>
        </w:rPr>
      </w:pPr>
      <w:hyperlink w:anchor="_Toc26533597" w:history="1">
        <w:r w:rsidR="00EF4385" w:rsidRPr="007B62C7">
          <w:rPr>
            <w:rStyle w:val="Hyperlink"/>
            <w:noProof/>
          </w:rPr>
          <w:t>14. General Terms and Conditions</w:t>
        </w:r>
        <w:r w:rsidR="00EF4385">
          <w:rPr>
            <w:noProof/>
            <w:webHidden/>
          </w:rPr>
          <w:tab/>
        </w:r>
        <w:r w:rsidR="00EF4385">
          <w:rPr>
            <w:noProof/>
            <w:webHidden/>
          </w:rPr>
          <w:fldChar w:fldCharType="begin"/>
        </w:r>
        <w:r w:rsidR="00EF4385">
          <w:rPr>
            <w:noProof/>
            <w:webHidden/>
          </w:rPr>
          <w:instrText xml:space="preserve"> PAGEREF _Toc26533597 \h </w:instrText>
        </w:r>
        <w:r w:rsidR="00EF4385">
          <w:rPr>
            <w:noProof/>
            <w:webHidden/>
          </w:rPr>
        </w:r>
        <w:r w:rsidR="00EF4385">
          <w:rPr>
            <w:noProof/>
            <w:webHidden/>
          </w:rPr>
          <w:fldChar w:fldCharType="separate"/>
        </w:r>
        <w:r w:rsidR="00CD237F">
          <w:rPr>
            <w:noProof/>
            <w:webHidden/>
          </w:rPr>
          <w:t>10</w:t>
        </w:r>
        <w:r w:rsidR="00EF4385">
          <w:rPr>
            <w:noProof/>
            <w:webHidden/>
          </w:rPr>
          <w:fldChar w:fldCharType="end"/>
        </w:r>
      </w:hyperlink>
    </w:p>
    <w:p w14:paraId="240049E4" w14:textId="2F1ABCB7" w:rsidR="00EF4385" w:rsidRDefault="008C0F49">
      <w:pPr>
        <w:pStyle w:val="TOC2"/>
        <w:rPr>
          <w:rFonts w:eastAsiaTheme="minorEastAsia"/>
          <w:noProof/>
        </w:rPr>
      </w:pPr>
      <w:hyperlink w:anchor="_Toc26533598" w:history="1">
        <w:r w:rsidR="00EF4385" w:rsidRPr="007B62C7">
          <w:rPr>
            <w:rStyle w:val="Hyperlink"/>
            <w:noProof/>
          </w:rPr>
          <w:t>15. Conflict of Interest</w:t>
        </w:r>
        <w:r w:rsidR="00EF4385">
          <w:rPr>
            <w:noProof/>
            <w:webHidden/>
          </w:rPr>
          <w:tab/>
        </w:r>
        <w:r w:rsidR="00EF4385">
          <w:rPr>
            <w:noProof/>
            <w:webHidden/>
          </w:rPr>
          <w:fldChar w:fldCharType="begin"/>
        </w:r>
        <w:r w:rsidR="00EF4385">
          <w:rPr>
            <w:noProof/>
            <w:webHidden/>
          </w:rPr>
          <w:instrText xml:space="preserve"> PAGEREF _Toc26533598 \h </w:instrText>
        </w:r>
        <w:r w:rsidR="00EF4385">
          <w:rPr>
            <w:noProof/>
            <w:webHidden/>
          </w:rPr>
        </w:r>
        <w:r w:rsidR="00EF4385">
          <w:rPr>
            <w:noProof/>
            <w:webHidden/>
          </w:rPr>
          <w:fldChar w:fldCharType="separate"/>
        </w:r>
        <w:r w:rsidR="00CD237F">
          <w:rPr>
            <w:noProof/>
            <w:webHidden/>
          </w:rPr>
          <w:t>11</w:t>
        </w:r>
        <w:r w:rsidR="00EF4385">
          <w:rPr>
            <w:noProof/>
            <w:webHidden/>
          </w:rPr>
          <w:fldChar w:fldCharType="end"/>
        </w:r>
      </w:hyperlink>
    </w:p>
    <w:p w14:paraId="3A1F6434" w14:textId="7B29A6AB" w:rsidR="00EF4385" w:rsidRDefault="008C0F49">
      <w:pPr>
        <w:pStyle w:val="TOC2"/>
        <w:rPr>
          <w:rFonts w:eastAsiaTheme="minorEastAsia"/>
          <w:noProof/>
        </w:rPr>
      </w:pPr>
      <w:hyperlink w:anchor="_Toc26533599" w:history="1">
        <w:r w:rsidR="00EF4385" w:rsidRPr="007B62C7">
          <w:rPr>
            <w:rStyle w:val="Hyperlink"/>
            <w:noProof/>
          </w:rPr>
          <w:t>16. Confidentiality</w:t>
        </w:r>
        <w:r w:rsidR="00EF4385">
          <w:rPr>
            <w:noProof/>
            <w:webHidden/>
          </w:rPr>
          <w:tab/>
        </w:r>
        <w:r w:rsidR="00EF4385">
          <w:rPr>
            <w:noProof/>
            <w:webHidden/>
          </w:rPr>
          <w:fldChar w:fldCharType="begin"/>
        </w:r>
        <w:r w:rsidR="00EF4385">
          <w:rPr>
            <w:noProof/>
            <w:webHidden/>
          </w:rPr>
          <w:instrText xml:space="preserve"> PAGEREF _Toc26533599 \h </w:instrText>
        </w:r>
        <w:r w:rsidR="00EF4385">
          <w:rPr>
            <w:noProof/>
            <w:webHidden/>
          </w:rPr>
        </w:r>
        <w:r w:rsidR="00EF4385">
          <w:rPr>
            <w:noProof/>
            <w:webHidden/>
          </w:rPr>
          <w:fldChar w:fldCharType="separate"/>
        </w:r>
        <w:r w:rsidR="00CD237F">
          <w:rPr>
            <w:noProof/>
            <w:webHidden/>
          </w:rPr>
          <w:t>11</w:t>
        </w:r>
        <w:r w:rsidR="00EF4385">
          <w:rPr>
            <w:noProof/>
            <w:webHidden/>
          </w:rPr>
          <w:fldChar w:fldCharType="end"/>
        </w:r>
      </w:hyperlink>
    </w:p>
    <w:p w14:paraId="6153F774" w14:textId="5111A8FB" w:rsidR="00EF4385" w:rsidRDefault="008C0F49">
      <w:pPr>
        <w:pStyle w:val="TOC2"/>
        <w:rPr>
          <w:rFonts w:eastAsiaTheme="minorEastAsia"/>
          <w:noProof/>
        </w:rPr>
      </w:pPr>
      <w:hyperlink w:anchor="_Toc26533600" w:history="1">
        <w:r w:rsidR="00EF4385" w:rsidRPr="007B62C7">
          <w:rPr>
            <w:rStyle w:val="Hyperlink"/>
            <w:noProof/>
          </w:rPr>
          <w:t>17. Process for Payment</w:t>
        </w:r>
        <w:r w:rsidR="00EF4385">
          <w:rPr>
            <w:noProof/>
            <w:webHidden/>
          </w:rPr>
          <w:tab/>
        </w:r>
        <w:r w:rsidR="00EF4385">
          <w:rPr>
            <w:noProof/>
            <w:webHidden/>
          </w:rPr>
          <w:fldChar w:fldCharType="begin"/>
        </w:r>
        <w:r w:rsidR="00EF4385">
          <w:rPr>
            <w:noProof/>
            <w:webHidden/>
          </w:rPr>
          <w:instrText xml:space="preserve"> PAGEREF _Toc26533600 \h </w:instrText>
        </w:r>
        <w:r w:rsidR="00EF4385">
          <w:rPr>
            <w:noProof/>
            <w:webHidden/>
          </w:rPr>
        </w:r>
        <w:r w:rsidR="00EF4385">
          <w:rPr>
            <w:noProof/>
            <w:webHidden/>
          </w:rPr>
          <w:fldChar w:fldCharType="separate"/>
        </w:r>
        <w:r w:rsidR="00CD237F">
          <w:rPr>
            <w:noProof/>
            <w:webHidden/>
          </w:rPr>
          <w:t>11</w:t>
        </w:r>
        <w:r w:rsidR="00EF4385">
          <w:rPr>
            <w:noProof/>
            <w:webHidden/>
          </w:rPr>
          <w:fldChar w:fldCharType="end"/>
        </w:r>
      </w:hyperlink>
    </w:p>
    <w:bookmarkEnd w:id="0"/>
    <w:p w14:paraId="44A2B649" w14:textId="4A1144B9" w:rsidR="005C52C4" w:rsidRPr="00C17D7C" w:rsidRDefault="00184720" w:rsidP="00D05CEA">
      <w:pPr>
        <w:pStyle w:val="Default"/>
        <w:pageBreakBefore/>
        <w:rPr>
          <w:sz w:val="6"/>
          <w:szCs w:val="6"/>
        </w:rPr>
      </w:pPr>
      <w:r w:rsidRPr="006F7BE8">
        <w:rPr>
          <w:rFonts w:ascii="Cambria" w:hAnsi="Cambria" w:cs="Cambria"/>
          <w:b/>
          <w:bCs/>
          <w:sz w:val="28"/>
          <w:szCs w:val="28"/>
        </w:rPr>
        <w:lastRenderedPageBreak/>
        <w:fldChar w:fldCharType="end"/>
      </w:r>
    </w:p>
    <w:p w14:paraId="3137F4F3" w14:textId="77777777" w:rsidR="003A38CB" w:rsidRPr="006F7BE8" w:rsidRDefault="003A38CB" w:rsidP="00D05CEA">
      <w:pPr>
        <w:pStyle w:val="Heading2"/>
        <w:spacing w:before="0"/>
      </w:pPr>
      <w:bookmarkStart w:id="1" w:name="_Toc26533584"/>
      <w:r w:rsidRPr="006F7BE8">
        <w:t>1. Introduction</w:t>
      </w:r>
      <w:bookmarkEnd w:id="1"/>
      <w:r w:rsidRPr="006F7BE8">
        <w:t xml:space="preserve"> </w:t>
      </w:r>
    </w:p>
    <w:p w14:paraId="4ABCCD5E" w14:textId="102D3B94" w:rsidR="00E03F48" w:rsidRDefault="003A38CB" w:rsidP="003C053A">
      <w:r w:rsidRPr="006F7BE8">
        <w:t xml:space="preserve">The California Victim Compensation </w:t>
      </w:r>
      <w:r w:rsidR="00013B3E">
        <w:t>Board</w:t>
      </w:r>
      <w:r w:rsidR="00013B3E" w:rsidRPr="006F7BE8">
        <w:t xml:space="preserve"> </w:t>
      </w:r>
      <w:r w:rsidRPr="006F7BE8">
        <w:t>(</w:t>
      </w:r>
      <w:r w:rsidR="00013B3E" w:rsidRPr="006F7BE8">
        <w:t>CalVC</w:t>
      </w:r>
      <w:r w:rsidR="00013B3E">
        <w:t>B</w:t>
      </w:r>
      <w:r w:rsidRPr="006F7BE8">
        <w:t>)</w:t>
      </w:r>
      <w:r w:rsidR="00013B3E">
        <w:t xml:space="preserve"> </w:t>
      </w:r>
      <w:r w:rsidRPr="006F7BE8">
        <w:t xml:space="preserve">provides </w:t>
      </w:r>
      <w:r w:rsidR="00605FD3" w:rsidRPr="00605FD3">
        <w:t xml:space="preserve">reimbursement </w:t>
      </w:r>
      <w:r w:rsidR="00605FD3">
        <w:t>to</w:t>
      </w:r>
      <w:r w:rsidR="00605FD3" w:rsidRPr="00605FD3">
        <w:t xml:space="preserve"> </w:t>
      </w:r>
      <w:r w:rsidR="00605FD3" w:rsidRPr="006F7BE8">
        <w:t>eligible victims of crime</w:t>
      </w:r>
      <w:r w:rsidR="00605FD3" w:rsidRPr="00605FD3">
        <w:t xml:space="preserve"> </w:t>
      </w:r>
      <w:r w:rsidR="00605FD3">
        <w:t xml:space="preserve">for </w:t>
      </w:r>
      <w:r w:rsidR="00605FD3" w:rsidRPr="00605FD3">
        <w:t>many crime-related expenses</w:t>
      </w:r>
      <w:r w:rsidRPr="006F7BE8">
        <w:t xml:space="preserve">. </w:t>
      </w:r>
      <w:r w:rsidR="00013B3E" w:rsidRPr="006F7BE8">
        <w:t>CalVC</w:t>
      </w:r>
      <w:r w:rsidR="00013B3E">
        <w:t>B</w:t>
      </w:r>
      <w:r w:rsidR="00013B3E" w:rsidRPr="006F7BE8">
        <w:t xml:space="preserve"> </w:t>
      </w:r>
      <w:r w:rsidRPr="006F7BE8">
        <w:t>funding comes from restitution paid by criminal offenders through fines, orders</w:t>
      </w:r>
      <w:r w:rsidR="00516C45">
        <w:t xml:space="preserve"> and</w:t>
      </w:r>
      <w:r w:rsidRPr="006F7BE8">
        <w:t xml:space="preserve"> penalty assessments</w:t>
      </w:r>
      <w:r w:rsidR="00C40010">
        <w:t>,</w:t>
      </w:r>
      <w:r w:rsidRPr="006F7BE8">
        <w:t xml:space="preserve"> and federal </w:t>
      </w:r>
      <w:r w:rsidR="00602371">
        <w:t>grant</w:t>
      </w:r>
      <w:r w:rsidR="00602371" w:rsidRPr="006F7BE8">
        <w:t xml:space="preserve"> </w:t>
      </w:r>
      <w:r w:rsidRPr="006F7BE8">
        <w:t xml:space="preserve">funds. </w:t>
      </w:r>
      <w:r w:rsidR="00A85028" w:rsidRPr="006F7BE8">
        <w:t>Government Code section</w:t>
      </w:r>
      <w:r w:rsidR="00277CED">
        <w:t>s</w:t>
      </w:r>
      <w:r w:rsidR="00A85028" w:rsidRPr="006F7BE8">
        <w:t xml:space="preserve"> 13963.1 </w:t>
      </w:r>
      <w:r w:rsidR="00277CED">
        <w:t>and 13963.2</w:t>
      </w:r>
      <w:r w:rsidR="00A85028" w:rsidRPr="006F7BE8">
        <w:t xml:space="preserve"> </w:t>
      </w:r>
      <w:r w:rsidR="00007F43">
        <w:t>mandat</w:t>
      </w:r>
      <w:r w:rsidR="00277CED">
        <w:t>e</w:t>
      </w:r>
      <w:r w:rsidR="00007F43" w:rsidRPr="006F7BE8">
        <w:t xml:space="preserve"> </w:t>
      </w:r>
      <w:r w:rsidR="00A85028" w:rsidRPr="006F7BE8">
        <w:t xml:space="preserve">that </w:t>
      </w:r>
      <w:r w:rsidR="00CA30C7">
        <w:t>CalVCB</w:t>
      </w:r>
      <w:r w:rsidR="00CA30C7" w:rsidRPr="006F7BE8">
        <w:t xml:space="preserve"> </w:t>
      </w:r>
      <w:r w:rsidR="00A85028" w:rsidRPr="006F7BE8">
        <w:t xml:space="preserve">administer a program to evaluate applications and award grants to </w:t>
      </w:r>
      <w:r w:rsidR="00A446B2">
        <w:t>T</w:t>
      </w:r>
      <w:r w:rsidR="00A85028" w:rsidRPr="006F7BE8">
        <w:t xml:space="preserve">rauma </w:t>
      </w:r>
      <w:r w:rsidR="00A446B2">
        <w:t>R</w:t>
      </w:r>
      <w:r w:rsidR="00A85028" w:rsidRPr="006F7BE8">
        <w:t xml:space="preserve">ecovery </w:t>
      </w:r>
      <w:r w:rsidR="00A446B2">
        <w:t>C</w:t>
      </w:r>
      <w:r w:rsidR="00A85028" w:rsidRPr="00BE21AD">
        <w:t xml:space="preserve">enters </w:t>
      </w:r>
      <w:r w:rsidR="008D5952" w:rsidRPr="00BE21AD">
        <w:t xml:space="preserve">(TRC) </w:t>
      </w:r>
      <w:r w:rsidR="00A85028" w:rsidRPr="00BE21AD">
        <w:t xml:space="preserve">in California </w:t>
      </w:r>
      <w:r w:rsidR="00A85028" w:rsidRPr="006F7BE8">
        <w:t>to provide services to victims of crime.</w:t>
      </w:r>
    </w:p>
    <w:p w14:paraId="325349CC" w14:textId="03B4A75C" w:rsidR="00FD7E82" w:rsidRDefault="00FD7E82" w:rsidP="003C053A">
      <w:pPr>
        <w:rPr>
          <w:color w:val="FF0000"/>
          <w:u w:val="single"/>
        </w:rPr>
      </w:pPr>
      <w:r w:rsidRPr="00FD7E82">
        <w:rPr>
          <w:color w:val="FF0000"/>
          <w:u w:val="single"/>
        </w:rPr>
        <w:t>This Notice of Funds Available (NOFA) was initially posted on November 30, 2020 and amended April 1</w:t>
      </w:r>
      <w:r w:rsidR="00FC7921">
        <w:rPr>
          <w:color w:val="FF0000"/>
          <w:u w:val="single"/>
        </w:rPr>
        <w:t>3</w:t>
      </w:r>
      <w:r w:rsidRPr="00FD7E82">
        <w:rPr>
          <w:color w:val="FF0000"/>
          <w:u w:val="single"/>
        </w:rPr>
        <w:t xml:space="preserve">, 2021. Organizations whose applications were accepted and scored </w:t>
      </w:r>
      <w:r w:rsidR="00FC7921">
        <w:rPr>
          <w:color w:val="FF0000"/>
          <w:u w:val="single"/>
        </w:rPr>
        <w:t xml:space="preserve">in response to </w:t>
      </w:r>
      <w:r w:rsidRPr="00FD7E82">
        <w:rPr>
          <w:color w:val="FF0000"/>
          <w:u w:val="single"/>
        </w:rPr>
        <w:t>the November 30, 2020 NOFA are invited to amend their initial applications and respond to supplemental questions</w:t>
      </w:r>
      <w:r w:rsidR="00FC7921">
        <w:rPr>
          <w:color w:val="FF0000"/>
          <w:u w:val="single"/>
        </w:rPr>
        <w:t xml:space="preserve"> 21-23</w:t>
      </w:r>
      <w:r w:rsidRPr="00FD7E82">
        <w:rPr>
          <w:color w:val="FF0000"/>
          <w:u w:val="single"/>
        </w:rPr>
        <w:t>.</w:t>
      </w:r>
    </w:p>
    <w:p w14:paraId="1E60D36C" w14:textId="2D540C8E" w:rsidR="00A76688" w:rsidRPr="00FD7E82" w:rsidRDefault="00A76688" w:rsidP="003C053A">
      <w:pPr>
        <w:rPr>
          <w:color w:val="FF0000"/>
          <w:u w:val="single"/>
        </w:rPr>
      </w:pPr>
      <w:r w:rsidRPr="00A76688">
        <w:rPr>
          <w:color w:val="FF0000"/>
          <w:u w:val="single"/>
        </w:rPr>
        <w:t>This notice increases the total points available from 100 points to 12</w:t>
      </w:r>
      <w:r w:rsidR="00FC7921">
        <w:rPr>
          <w:color w:val="FF0000"/>
          <w:u w:val="single"/>
        </w:rPr>
        <w:t>4</w:t>
      </w:r>
      <w:r w:rsidRPr="00A76688">
        <w:rPr>
          <w:color w:val="FF0000"/>
          <w:u w:val="single"/>
        </w:rPr>
        <w:t>.</w:t>
      </w:r>
    </w:p>
    <w:p w14:paraId="481F66BD" w14:textId="77777777" w:rsidR="003A38CB" w:rsidRPr="006F7BE8" w:rsidRDefault="00E16D8A" w:rsidP="006F7BE8">
      <w:pPr>
        <w:pStyle w:val="Heading2"/>
      </w:pPr>
      <w:bookmarkStart w:id="2" w:name="_Toc26533585"/>
      <w:r>
        <w:t>2</w:t>
      </w:r>
      <w:r w:rsidR="003A38CB" w:rsidRPr="006F7BE8">
        <w:t>. Purpose of the Grant Program</w:t>
      </w:r>
      <w:bookmarkEnd w:id="2"/>
      <w:r w:rsidR="003A38CB" w:rsidRPr="006F7BE8">
        <w:t xml:space="preserve"> </w:t>
      </w:r>
    </w:p>
    <w:p w14:paraId="77B54775" w14:textId="67114E75" w:rsidR="003A38CB" w:rsidRPr="00B35AD1" w:rsidRDefault="0041758E" w:rsidP="003C053A">
      <w:pPr>
        <w:spacing w:after="60"/>
        <w:rPr>
          <w:rFonts w:ascii="Cambria" w:hAnsi="Cambria" w:cs="Cambria"/>
          <w:b/>
          <w:bCs/>
        </w:rPr>
      </w:pPr>
      <w:r w:rsidRPr="00B35AD1">
        <w:t xml:space="preserve">The </w:t>
      </w:r>
      <w:r w:rsidR="003A38CB" w:rsidRPr="00B35AD1">
        <w:t>grant program award</w:t>
      </w:r>
      <w:r w:rsidR="00007F43">
        <w:t>s</w:t>
      </w:r>
      <w:r w:rsidR="003A38CB" w:rsidRPr="00B35AD1">
        <w:t xml:space="preserve"> funding for </w:t>
      </w:r>
      <w:r w:rsidR="004175A8" w:rsidRPr="00B35AD1">
        <w:t>TRCs</w:t>
      </w:r>
      <w:r w:rsidR="003A38CB" w:rsidRPr="00B35AD1">
        <w:t xml:space="preserve"> to provide </w:t>
      </w:r>
      <w:r w:rsidR="0087341B" w:rsidRPr="000C5B94">
        <w:t xml:space="preserve">trauma-informed </w:t>
      </w:r>
      <w:r w:rsidR="003A38CB" w:rsidRPr="00B35AD1">
        <w:t xml:space="preserve">services to victims of crime. </w:t>
      </w:r>
      <w:r w:rsidR="006F7525">
        <w:t>Grant</w:t>
      </w:r>
      <w:r w:rsidR="006F7525" w:rsidRPr="00B35AD1">
        <w:t xml:space="preserve">ees </w:t>
      </w:r>
      <w:r w:rsidR="002618AD">
        <w:t xml:space="preserve">will serve all victims of </w:t>
      </w:r>
      <w:r w:rsidR="001F3E77">
        <w:t>crime;</w:t>
      </w:r>
      <w:r w:rsidR="002618AD">
        <w:t xml:space="preserve"> </w:t>
      </w:r>
      <w:proofErr w:type="gramStart"/>
      <w:r w:rsidR="002618AD">
        <w:t>whether or not</w:t>
      </w:r>
      <w:proofErr w:type="gramEnd"/>
      <w:r w:rsidR="002618AD">
        <w:t xml:space="preserve"> they </w:t>
      </w:r>
      <w:r w:rsidR="002618AD" w:rsidRPr="002618AD">
        <w:t>meet CalVCB’s eligibility requirements</w:t>
      </w:r>
      <w:r w:rsidR="00914E39">
        <w:t>,</w:t>
      </w:r>
      <w:r w:rsidR="002618AD">
        <w:t xml:space="preserve"> </w:t>
      </w:r>
      <w:r w:rsidR="001F3E77" w:rsidRPr="002618AD">
        <w:t>provided</w:t>
      </w:r>
      <w:r w:rsidR="002618AD" w:rsidRPr="002618AD">
        <w:t xml:space="preserve"> </w:t>
      </w:r>
      <w:r w:rsidR="00007F43">
        <w:t xml:space="preserve">the </w:t>
      </w:r>
      <w:r w:rsidR="007E41BD">
        <w:t xml:space="preserve">services </w:t>
      </w:r>
      <w:r w:rsidR="002618AD" w:rsidRPr="002618AD">
        <w:t xml:space="preserve">are consistent with </w:t>
      </w:r>
      <w:r w:rsidR="00914E39">
        <w:t xml:space="preserve">California Government Code sections 13963.1 and 13963.2 and </w:t>
      </w:r>
      <w:r w:rsidR="002618AD" w:rsidRPr="002618AD">
        <w:t>this Notice of Funds Available (NOFA)</w:t>
      </w:r>
      <w:r w:rsidR="00BE21AD" w:rsidRPr="00B35AD1">
        <w:t>.</w:t>
      </w:r>
    </w:p>
    <w:p w14:paraId="428F07B9" w14:textId="792F4DB0" w:rsidR="00914E39" w:rsidRPr="00474776" w:rsidRDefault="00E16D8A" w:rsidP="00025B56">
      <w:pPr>
        <w:pStyle w:val="Heading2"/>
        <w:spacing w:after="60"/>
      </w:pPr>
      <w:bookmarkStart w:id="3" w:name="_Toc26533586"/>
      <w:r>
        <w:t>3</w:t>
      </w:r>
      <w:r w:rsidR="003A38CB" w:rsidRPr="006F7BE8">
        <w:t>. Key Application Dates</w:t>
      </w:r>
      <w:bookmarkEnd w:id="3"/>
    </w:p>
    <w:tbl>
      <w:tblPr>
        <w:tblStyle w:val="TableGrid"/>
        <w:tblW w:w="0" w:type="auto"/>
        <w:tblLook w:val="04A0" w:firstRow="1" w:lastRow="0" w:firstColumn="1" w:lastColumn="0" w:noHBand="0" w:noVBand="1"/>
      </w:tblPr>
      <w:tblGrid>
        <w:gridCol w:w="4675"/>
        <w:gridCol w:w="4675"/>
      </w:tblGrid>
      <w:tr w:rsidR="00025B56" w14:paraId="61D37759" w14:textId="77777777" w:rsidTr="00025B56">
        <w:tc>
          <w:tcPr>
            <w:tcW w:w="4675" w:type="dxa"/>
          </w:tcPr>
          <w:p w14:paraId="4B26097A" w14:textId="69DFC2CC" w:rsidR="00025B56" w:rsidRPr="00025B56" w:rsidRDefault="00025B56" w:rsidP="00025B56">
            <w:pPr>
              <w:rPr>
                <w:rFonts w:ascii="Calibri" w:hAnsi="Calibri" w:cs="Calibri"/>
              </w:rPr>
            </w:pPr>
            <w:r w:rsidRPr="00025B56">
              <w:rPr>
                <w:rFonts w:ascii="Calibri" w:hAnsi="Calibri" w:cs="Calibri"/>
              </w:rPr>
              <w:t>NOFA Release Date</w:t>
            </w:r>
          </w:p>
        </w:tc>
        <w:tc>
          <w:tcPr>
            <w:tcW w:w="4675" w:type="dxa"/>
          </w:tcPr>
          <w:p w14:paraId="0D466D15" w14:textId="74825DFF" w:rsidR="0029421A" w:rsidRPr="00025B56" w:rsidRDefault="003A31EA" w:rsidP="00025B56">
            <w:pPr>
              <w:rPr>
                <w:rFonts w:ascii="Calibri" w:hAnsi="Calibri" w:cs="Calibri"/>
              </w:rPr>
            </w:pPr>
            <w:r>
              <w:rPr>
                <w:rFonts w:ascii="Calibri" w:hAnsi="Calibri" w:cs="Calibri"/>
              </w:rPr>
              <w:t>Tuesday</w:t>
            </w:r>
            <w:r w:rsidR="00025B56" w:rsidRPr="00025B56">
              <w:rPr>
                <w:rFonts w:ascii="Calibri" w:hAnsi="Calibri" w:cs="Calibri"/>
              </w:rPr>
              <w:t xml:space="preserve">, </w:t>
            </w:r>
            <w:r w:rsidR="00025B56" w:rsidRPr="0042511A">
              <w:rPr>
                <w:rFonts w:ascii="Calibri" w:hAnsi="Calibri" w:cs="Calibri"/>
                <w:strike/>
              </w:rPr>
              <w:t xml:space="preserve">November </w:t>
            </w:r>
            <w:r w:rsidR="005C4183" w:rsidRPr="0042511A">
              <w:rPr>
                <w:rFonts w:ascii="Calibri" w:hAnsi="Calibri" w:cs="Calibri"/>
                <w:strike/>
              </w:rPr>
              <w:t>30</w:t>
            </w:r>
            <w:r w:rsidR="00025B56" w:rsidRPr="0042511A">
              <w:rPr>
                <w:rFonts w:ascii="Calibri" w:hAnsi="Calibri" w:cs="Calibri"/>
                <w:strike/>
              </w:rPr>
              <w:t>, 2020</w:t>
            </w:r>
            <w:r w:rsidR="0042511A">
              <w:rPr>
                <w:rFonts w:ascii="Calibri" w:hAnsi="Calibri" w:cs="Calibri"/>
                <w:strike/>
              </w:rPr>
              <w:t xml:space="preserve"> </w:t>
            </w:r>
            <w:r w:rsidR="0042511A" w:rsidRPr="0042511A">
              <w:rPr>
                <w:rFonts w:ascii="Calibri" w:hAnsi="Calibri" w:cs="Calibri"/>
                <w:color w:val="FF0000"/>
                <w:u w:val="single"/>
              </w:rPr>
              <w:t>April 1</w:t>
            </w:r>
            <w:r w:rsidR="0025659E">
              <w:rPr>
                <w:rFonts w:ascii="Calibri" w:hAnsi="Calibri" w:cs="Calibri"/>
                <w:color w:val="FF0000"/>
                <w:u w:val="single"/>
              </w:rPr>
              <w:t>3</w:t>
            </w:r>
            <w:r w:rsidR="0042511A" w:rsidRPr="0042511A">
              <w:rPr>
                <w:rFonts w:ascii="Calibri" w:hAnsi="Calibri" w:cs="Calibri"/>
                <w:color w:val="FF0000"/>
                <w:u w:val="single"/>
              </w:rPr>
              <w:t>, 2021</w:t>
            </w:r>
          </w:p>
        </w:tc>
      </w:tr>
      <w:tr w:rsidR="00025B56" w14:paraId="27927C53" w14:textId="77777777" w:rsidTr="00025B56">
        <w:tc>
          <w:tcPr>
            <w:tcW w:w="4675" w:type="dxa"/>
          </w:tcPr>
          <w:p w14:paraId="08967E6E" w14:textId="1CBDDB4D" w:rsidR="00025B56" w:rsidRPr="00025B56" w:rsidRDefault="00025B56" w:rsidP="00025B56">
            <w:pPr>
              <w:rPr>
                <w:rFonts w:ascii="Calibri" w:hAnsi="Calibri" w:cs="Calibri"/>
              </w:rPr>
            </w:pPr>
            <w:r w:rsidRPr="00025B56">
              <w:rPr>
                <w:rFonts w:ascii="Calibri" w:hAnsi="Calibri" w:cs="Calibri"/>
              </w:rPr>
              <w:t>Final Date to Submit Questions</w:t>
            </w:r>
          </w:p>
        </w:tc>
        <w:tc>
          <w:tcPr>
            <w:tcW w:w="4675" w:type="dxa"/>
          </w:tcPr>
          <w:p w14:paraId="107D076C" w14:textId="0A4CD680" w:rsidR="00025B56" w:rsidRPr="00025B56" w:rsidRDefault="00025B56" w:rsidP="00025B56">
            <w:pPr>
              <w:rPr>
                <w:rFonts w:ascii="Calibri" w:hAnsi="Calibri" w:cs="Calibri"/>
              </w:rPr>
            </w:pPr>
            <w:r w:rsidRPr="0042511A">
              <w:rPr>
                <w:rFonts w:ascii="Calibri" w:hAnsi="Calibri" w:cs="Calibri"/>
                <w:strike/>
              </w:rPr>
              <w:t xml:space="preserve">Monday, </w:t>
            </w:r>
            <w:r w:rsidR="005C4183" w:rsidRPr="0042511A">
              <w:rPr>
                <w:rFonts w:ascii="Calibri" w:hAnsi="Calibri" w:cs="Calibri"/>
                <w:strike/>
              </w:rPr>
              <w:t>December 7</w:t>
            </w:r>
            <w:r w:rsidRPr="0042511A">
              <w:rPr>
                <w:rFonts w:ascii="Calibri" w:hAnsi="Calibri" w:cs="Calibri"/>
                <w:strike/>
              </w:rPr>
              <w:t>, 2020</w:t>
            </w:r>
            <w:r w:rsidR="00091B46" w:rsidRPr="0042511A">
              <w:rPr>
                <w:rFonts w:ascii="Calibri" w:hAnsi="Calibri" w:cs="Calibri"/>
                <w:strike/>
              </w:rPr>
              <w:t>,</w:t>
            </w:r>
            <w:r w:rsidRPr="0042511A">
              <w:rPr>
                <w:rFonts w:ascii="Calibri" w:hAnsi="Calibri" w:cs="Calibri"/>
                <w:strike/>
              </w:rPr>
              <w:t xml:space="preserve"> by 5:00 p.m.</w:t>
            </w:r>
            <w:r w:rsidRPr="00025B56">
              <w:rPr>
                <w:rFonts w:ascii="Calibri" w:hAnsi="Calibri" w:cs="Calibri"/>
              </w:rPr>
              <w:t xml:space="preserve"> </w:t>
            </w:r>
            <w:r w:rsidR="0025659E" w:rsidRPr="008C0F49">
              <w:rPr>
                <w:rFonts w:ascii="Calibri" w:hAnsi="Calibri" w:cs="Calibri"/>
                <w:color w:val="FF0000"/>
                <w:u w:val="single"/>
              </w:rPr>
              <w:t>Friday</w:t>
            </w:r>
            <w:r w:rsidR="0042511A" w:rsidRPr="0042511A">
              <w:rPr>
                <w:rFonts w:ascii="Calibri" w:hAnsi="Calibri" w:cs="Calibri"/>
                <w:color w:val="FF0000"/>
                <w:u w:val="single"/>
              </w:rPr>
              <w:t>, April 1</w:t>
            </w:r>
            <w:r w:rsidR="0025659E">
              <w:rPr>
                <w:rFonts w:ascii="Calibri" w:hAnsi="Calibri" w:cs="Calibri"/>
                <w:color w:val="FF0000"/>
                <w:u w:val="single"/>
              </w:rPr>
              <w:t>6</w:t>
            </w:r>
            <w:r w:rsidR="0042511A" w:rsidRPr="0042511A">
              <w:rPr>
                <w:rFonts w:ascii="Calibri" w:hAnsi="Calibri" w:cs="Calibri"/>
                <w:color w:val="FF0000"/>
                <w:u w:val="single"/>
              </w:rPr>
              <w:t>, 2021, by 10:00 a.m.</w:t>
            </w:r>
            <w:r w:rsidR="0042511A" w:rsidRPr="0042511A">
              <w:rPr>
                <w:rFonts w:ascii="Calibri" w:hAnsi="Calibri" w:cs="Calibri"/>
                <w:color w:val="FF0000"/>
              </w:rPr>
              <w:t xml:space="preserve"> </w:t>
            </w:r>
            <w:r w:rsidRPr="00025B56">
              <w:rPr>
                <w:rFonts w:ascii="Calibri" w:hAnsi="Calibri" w:cs="Calibri"/>
              </w:rPr>
              <w:t>Pacific Time (PT)</w:t>
            </w:r>
          </w:p>
        </w:tc>
      </w:tr>
      <w:tr w:rsidR="00025B56" w14:paraId="79E2A7B1" w14:textId="77777777" w:rsidTr="00025B56">
        <w:tc>
          <w:tcPr>
            <w:tcW w:w="4675" w:type="dxa"/>
          </w:tcPr>
          <w:p w14:paraId="39B83792" w14:textId="5D11BDD4" w:rsidR="00025B56" w:rsidRPr="00025B56" w:rsidRDefault="00025B56" w:rsidP="00025B56">
            <w:pPr>
              <w:rPr>
                <w:rFonts w:ascii="Calibri" w:hAnsi="Calibri" w:cs="Calibri"/>
              </w:rPr>
            </w:pPr>
            <w:r w:rsidRPr="00025B56">
              <w:rPr>
                <w:rFonts w:ascii="Calibri" w:hAnsi="Calibri" w:cs="Calibri"/>
              </w:rPr>
              <w:t>Response to Questions Posted</w:t>
            </w:r>
          </w:p>
        </w:tc>
        <w:tc>
          <w:tcPr>
            <w:tcW w:w="4675" w:type="dxa"/>
          </w:tcPr>
          <w:p w14:paraId="6B38B773" w14:textId="2AC9F3A4" w:rsidR="00025B56" w:rsidRPr="00025B56" w:rsidRDefault="00243D89" w:rsidP="00025B56">
            <w:pPr>
              <w:rPr>
                <w:rFonts w:ascii="Calibri" w:hAnsi="Calibri" w:cs="Calibri"/>
              </w:rPr>
            </w:pPr>
            <w:r w:rsidRPr="008C3A82">
              <w:rPr>
                <w:rFonts w:ascii="Calibri" w:hAnsi="Calibri" w:cs="Calibri"/>
                <w:strike/>
              </w:rPr>
              <w:t>Thursday</w:t>
            </w:r>
            <w:r w:rsidR="00025B56" w:rsidRPr="008C3A82">
              <w:rPr>
                <w:rFonts w:ascii="Calibri" w:hAnsi="Calibri" w:cs="Calibri"/>
                <w:strike/>
              </w:rPr>
              <w:t xml:space="preserve">, </w:t>
            </w:r>
            <w:r w:rsidR="005C4183" w:rsidRPr="008C3A82">
              <w:rPr>
                <w:rFonts w:ascii="Calibri" w:hAnsi="Calibri" w:cs="Calibri"/>
                <w:strike/>
              </w:rPr>
              <w:t>December 10</w:t>
            </w:r>
            <w:r w:rsidR="00025B56" w:rsidRPr="008C3A82">
              <w:rPr>
                <w:rFonts w:ascii="Calibri" w:hAnsi="Calibri" w:cs="Calibri"/>
                <w:strike/>
              </w:rPr>
              <w:t>, 2020</w:t>
            </w:r>
            <w:r w:rsidR="00091B46" w:rsidRPr="008C3A82">
              <w:rPr>
                <w:rFonts w:ascii="Calibri" w:hAnsi="Calibri" w:cs="Calibri"/>
                <w:strike/>
              </w:rPr>
              <w:t>,</w:t>
            </w:r>
            <w:r w:rsidR="00025B56" w:rsidRPr="008C3A82">
              <w:rPr>
                <w:rFonts w:ascii="Calibri" w:hAnsi="Calibri" w:cs="Calibri"/>
                <w:strike/>
              </w:rPr>
              <w:t xml:space="preserve"> by 5:00</w:t>
            </w:r>
            <w:r w:rsidR="00025B56" w:rsidRPr="00025B56">
              <w:rPr>
                <w:rFonts w:ascii="Calibri" w:hAnsi="Calibri" w:cs="Calibri"/>
              </w:rPr>
              <w:t xml:space="preserve"> </w:t>
            </w:r>
            <w:r w:rsidR="0025659E">
              <w:rPr>
                <w:rFonts w:ascii="Calibri" w:hAnsi="Calibri" w:cs="Calibri"/>
              </w:rPr>
              <w:t>Monday</w:t>
            </w:r>
            <w:r w:rsidR="008C3A82" w:rsidRPr="008C3A82">
              <w:rPr>
                <w:rFonts w:ascii="Calibri" w:hAnsi="Calibri" w:cs="Calibri"/>
                <w:color w:val="FF0000"/>
                <w:u w:val="single"/>
              </w:rPr>
              <w:t>, April 1</w:t>
            </w:r>
            <w:r w:rsidR="0025659E">
              <w:rPr>
                <w:rFonts w:ascii="Calibri" w:hAnsi="Calibri" w:cs="Calibri"/>
                <w:color w:val="FF0000"/>
                <w:u w:val="single"/>
              </w:rPr>
              <w:t>9</w:t>
            </w:r>
            <w:r w:rsidR="008C3A82" w:rsidRPr="008C3A82">
              <w:rPr>
                <w:rFonts w:ascii="Calibri" w:hAnsi="Calibri" w:cs="Calibri"/>
                <w:color w:val="FF0000"/>
                <w:u w:val="single"/>
              </w:rPr>
              <w:t xml:space="preserve">, 2021, by 4:00 </w:t>
            </w:r>
            <w:r w:rsidR="00025B56" w:rsidRPr="008C3A82">
              <w:rPr>
                <w:rFonts w:ascii="Calibri" w:hAnsi="Calibri" w:cs="Calibri"/>
                <w:color w:val="FF0000"/>
                <w:u w:val="single"/>
              </w:rPr>
              <w:t>p.m. PT</w:t>
            </w:r>
          </w:p>
        </w:tc>
      </w:tr>
      <w:tr w:rsidR="00025B56" w14:paraId="38E946E6" w14:textId="77777777" w:rsidTr="00025B56">
        <w:tc>
          <w:tcPr>
            <w:tcW w:w="4675" w:type="dxa"/>
          </w:tcPr>
          <w:p w14:paraId="07482751" w14:textId="55501491" w:rsidR="00025B56" w:rsidRPr="00025B56" w:rsidRDefault="00025B56" w:rsidP="00025B56">
            <w:pPr>
              <w:rPr>
                <w:rFonts w:ascii="Calibri" w:hAnsi="Calibri" w:cs="Calibri"/>
              </w:rPr>
            </w:pPr>
            <w:r w:rsidRPr="00025B56">
              <w:rPr>
                <w:rFonts w:ascii="Calibri" w:hAnsi="Calibri" w:cs="Calibri"/>
              </w:rPr>
              <w:t>Final Application Submission Date</w:t>
            </w:r>
          </w:p>
        </w:tc>
        <w:tc>
          <w:tcPr>
            <w:tcW w:w="4675" w:type="dxa"/>
          </w:tcPr>
          <w:p w14:paraId="76190532" w14:textId="20DA772A" w:rsidR="00025B56" w:rsidRPr="00025B56" w:rsidRDefault="00025B56" w:rsidP="00025B56">
            <w:pPr>
              <w:rPr>
                <w:rFonts w:ascii="Calibri" w:hAnsi="Calibri" w:cs="Calibri"/>
              </w:rPr>
            </w:pPr>
            <w:r w:rsidRPr="008C3A82">
              <w:rPr>
                <w:rFonts w:ascii="Calibri" w:hAnsi="Calibri" w:cs="Calibri"/>
                <w:strike/>
              </w:rPr>
              <w:t xml:space="preserve">Wednesday, December </w:t>
            </w:r>
            <w:r w:rsidR="005C4183" w:rsidRPr="008C3A82">
              <w:rPr>
                <w:rFonts w:ascii="Calibri" w:hAnsi="Calibri" w:cs="Calibri"/>
                <w:strike/>
              </w:rPr>
              <w:t>30</w:t>
            </w:r>
            <w:r w:rsidRPr="008C3A82">
              <w:rPr>
                <w:rFonts w:ascii="Calibri" w:hAnsi="Calibri" w:cs="Calibri"/>
                <w:strike/>
              </w:rPr>
              <w:t>, 2020</w:t>
            </w:r>
            <w:r w:rsidR="008C3A82">
              <w:rPr>
                <w:rFonts w:ascii="Calibri" w:hAnsi="Calibri" w:cs="Calibri"/>
              </w:rPr>
              <w:t xml:space="preserve"> </w:t>
            </w:r>
            <w:r w:rsidR="008C3A82" w:rsidRPr="008C3A82">
              <w:rPr>
                <w:rFonts w:ascii="Calibri" w:hAnsi="Calibri" w:cs="Calibri"/>
                <w:color w:val="FF0000"/>
                <w:u w:val="single"/>
              </w:rPr>
              <w:t>Monday, April 26, 2021</w:t>
            </w:r>
            <w:r w:rsidR="00091B46" w:rsidRPr="008C3A82">
              <w:rPr>
                <w:rFonts w:ascii="Calibri" w:hAnsi="Calibri" w:cs="Calibri"/>
                <w:color w:val="FF0000"/>
                <w:u w:val="single"/>
              </w:rPr>
              <w:t>,</w:t>
            </w:r>
            <w:r w:rsidRPr="008C3A82">
              <w:rPr>
                <w:rFonts w:ascii="Calibri" w:hAnsi="Calibri" w:cs="Calibri"/>
                <w:color w:val="FF0000"/>
              </w:rPr>
              <w:t xml:space="preserve"> </w:t>
            </w:r>
            <w:r w:rsidRPr="00025B56">
              <w:rPr>
                <w:rFonts w:ascii="Calibri" w:hAnsi="Calibri" w:cs="Calibri"/>
              </w:rPr>
              <w:t>by 2:00 p.m. PT</w:t>
            </w:r>
          </w:p>
        </w:tc>
      </w:tr>
      <w:tr w:rsidR="00025B56" w14:paraId="7314A54D" w14:textId="77777777" w:rsidTr="00025B56">
        <w:tc>
          <w:tcPr>
            <w:tcW w:w="4675" w:type="dxa"/>
          </w:tcPr>
          <w:p w14:paraId="6851C995" w14:textId="09BB43E4" w:rsidR="00025B56" w:rsidRPr="00025B56" w:rsidRDefault="00025B56" w:rsidP="00025B56">
            <w:pPr>
              <w:rPr>
                <w:rFonts w:ascii="Calibri" w:hAnsi="Calibri" w:cs="Calibri"/>
              </w:rPr>
            </w:pPr>
            <w:r w:rsidRPr="00025B56">
              <w:rPr>
                <w:rFonts w:ascii="Calibri" w:hAnsi="Calibri" w:cs="Calibri"/>
              </w:rPr>
              <w:t>Ten</w:t>
            </w:r>
            <w:r w:rsidR="00474776">
              <w:rPr>
                <w:rFonts w:ascii="Calibri" w:hAnsi="Calibri" w:cs="Calibri"/>
              </w:rPr>
              <w:t>t</w:t>
            </w:r>
            <w:r w:rsidRPr="00025B56">
              <w:rPr>
                <w:rFonts w:ascii="Calibri" w:hAnsi="Calibri" w:cs="Calibri"/>
              </w:rPr>
              <w:t>ative Board Award Approval Date</w:t>
            </w:r>
          </w:p>
        </w:tc>
        <w:tc>
          <w:tcPr>
            <w:tcW w:w="4675" w:type="dxa"/>
          </w:tcPr>
          <w:p w14:paraId="24AF45C7" w14:textId="12F6B53D" w:rsidR="00025B56" w:rsidRPr="00025B56" w:rsidRDefault="00025B56" w:rsidP="00025B56">
            <w:pPr>
              <w:rPr>
                <w:rFonts w:ascii="Calibri" w:hAnsi="Calibri" w:cs="Calibri"/>
              </w:rPr>
            </w:pPr>
            <w:r w:rsidRPr="00025B56">
              <w:rPr>
                <w:rFonts w:ascii="Calibri" w:hAnsi="Calibri" w:cs="Calibri"/>
              </w:rPr>
              <w:t xml:space="preserve">Thursday, </w:t>
            </w:r>
            <w:r w:rsidR="00210896" w:rsidRPr="008C3A82">
              <w:rPr>
                <w:rFonts w:ascii="Calibri" w:hAnsi="Calibri" w:cs="Calibri"/>
                <w:strike/>
              </w:rPr>
              <w:t xml:space="preserve">March </w:t>
            </w:r>
            <w:r w:rsidRPr="008C3A82">
              <w:rPr>
                <w:rFonts w:ascii="Calibri" w:hAnsi="Calibri" w:cs="Calibri"/>
                <w:strike/>
              </w:rPr>
              <w:t>18</w:t>
            </w:r>
            <w:r w:rsidR="008C3A82">
              <w:rPr>
                <w:rFonts w:ascii="Calibri" w:hAnsi="Calibri" w:cs="Calibri"/>
              </w:rPr>
              <w:t xml:space="preserve"> </w:t>
            </w:r>
            <w:r w:rsidR="008C3A82" w:rsidRPr="008C3A82">
              <w:rPr>
                <w:rFonts w:ascii="Calibri" w:hAnsi="Calibri" w:cs="Calibri"/>
                <w:color w:val="FF0000"/>
                <w:u w:val="single"/>
              </w:rPr>
              <w:t>May 20</w:t>
            </w:r>
            <w:r w:rsidRPr="00025B56">
              <w:rPr>
                <w:rFonts w:ascii="Calibri" w:hAnsi="Calibri" w:cs="Calibri"/>
              </w:rPr>
              <w:t>, 2021</w:t>
            </w:r>
          </w:p>
        </w:tc>
      </w:tr>
    </w:tbl>
    <w:p w14:paraId="19215E3B" w14:textId="77777777" w:rsidR="00025B56" w:rsidRPr="00842839" w:rsidRDefault="00025B56" w:rsidP="00025B56">
      <w:pPr>
        <w:rPr>
          <w:rFonts w:cstheme="minorHAnsi"/>
          <w:b/>
          <w:bCs/>
        </w:rPr>
      </w:pPr>
    </w:p>
    <w:p w14:paraId="53758788" w14:textId="77777777" w:rsidR="003A38CB" w:rsidRPr="004C4974" w:rsidRDefault="00E16D8A" w:rsidP="006F7BE8">
      <w:pPr>
        <w:pStyle w:val="Heading2"/>
      </w:pPr>
      <w:bookmarkStart w:id="4" w:name="_Toc26533587"/>
      <w:r w:rsidRPr="004C4974">
        <w:t>4</w:t>
      </w:r>
      <w:r w:rsidR="003A38CB" w:rsidRPr="004C4974">
        <w:t xml:space="preserve">. </w:t>
      </w:r>
      <w:r w:rsidR="00594322" w:rsidRPr="004C4974">
        <w:t>Eligibility Criteria</w:t>
      </w:r>
      <w:r w:rsidR="003A38CB" w:rsidRPr="004C4974">
        <w:t xml:space="preserve"> </w:t>
      </w:r>
      <w:r w:rsidR="0020561F">
        <w:t>and Minimum Qualifications</w:t>
      </w:r>
      <w:bookmarkEnd w:id="4"/>
    </w:p>
    <w:p w14:paraId="5EDD518F" w14:textId="63F3C97C" w:rsidR="00F6102D" w:rsidRDefault="00F6102D" w:rsidP="007039D5">
      <w:r>
        <w:t>C</w:t>
      </w:r>
      <w:r w:rsidR="007003F9">
        <w:t>al</w:t>
      </w:r>
      <w:r>
        <w:t>VCB</w:t>
      </w:r>
      <w:r w:rsidRPr="00F6102D">
        <w:t xml:space="preserve"> use</w:t>
      </w:r>
      <w:r>
        <w:t>s</w:t>
      </w:r>
      <w:r w:rsidRPr="00F6102D">
        <w:t xml:space="preserve"> the </w:t>
      </w:r>
      <w:r w:rsidR="00F74C05">
        <w:t>May 10, 2017</w:t>
      </w:r>
      <w:r w:rsidR="00091B46">
        <w:t>,</w:t>
      </w:r>
      <w:r w:rsidR="00F74C05">
        <w:t xml:space="preserve"> edition of the </w:t>
      </w:r>
      <w:r w:rsidRPr="00F6102D">
        <w:t>evidence-informed</w:t>
      </w:r>
      <w:r w:rsidR="000A77C9">
        <w:t xml:space="preserve"> model of care</w:t>
      </w:r>
      <w:r w:rsidR="007039D5">
        <w:t xml:space="preserve"> </w:t>
      </w:r>
      <w:hyperlink r:id="rId9" w:history="1">
        <w:r w:rsidR="007039D5" w:rsidRPr="007039D5">
          <w:rPr>
            <w:rStyle w:val="Hyperlink"/>
          </w:rPr>
          <w:t>UC San Francisco Trauma Recovery Center Manual</w:t>
        </w:r>
      </w:hyperlink>
      <w:r w:rsidR="007039D5">
        <w:t xml:space="preserve"> </w:t>
      </w:r>
      <w:r w:rsidRPr="00F6102D">
        <w:t>developed by the State Pilot TRC</w:t>
      </w:r>
      <w:r w:rsidR="00232621">
        <w:t xml:space="preserve"> (</w:t>
      </w:r>
      <w:r w:rsidR="007E41BD" w:rsidRPr="007E41BD">
        <w:t>University of California</w:t>
      </w:r>
      <w:r w:rsidR="007E41BD">
        <w:t>,</w:t>
      </w:r>
      <w:r w:rsidR="00232621">
        <w:t xml:space="preserve"> San Francisco </w:t>
      </w:r>
      <w:r w:rsidR="0058571A">
        <w:t>(UCSF)</w:t>
      </w:r>
      <w:r w:rsidR="00A446B2">
        <w:t xml:space="preserve"> TRC</w:t>
      </w:r>
      <w:r w:rsidR="00232621">
        <w:t>),</w:t>
      </w:r>
      <w:r w:rsidRPr="00F6102D">
        <w:t xml:space="preserve"> when it selects, establishes, and </w:t>
      </w:r>
      <w:r w:rsidR="003C3047">
        <w:t>administers</w:t>
      </w:r>
      <w:r w:rsidRPr="00F6102D">
        <w:t xml:space="preserve"> </w:t>
      </w:r>
      <w:r w:rsidR="00660362">
        <w:t>TRC</w:t>
      </w:r>
      <w:r w:rsidR="00E52E57">
        <w:t xml:space="preserve"> grant</w:t>
      </w:r>
      <w:r w:rsidRPr="00F6102D">
        <w:t>s</w:t>
      </w:r>
      <w:r>
        <w:t>.</w:t>
      </w:r>
    </w:p>
    <w:p w14:paraId="14ABCEC5" w14:textId="48FB8924" w:rsidR="00CA5231" w:rsidRDefault="00232621" w:rsidP="003C053A">
      <w:pPr>
        <w:spacing w:after="60"/>
      </w:pPr>
      <w:r>
        <w:t xml:space="preserve">All grant applications must demonstrate utilization of the </w:t>
      </w:r>
      <w:r w:rsidR="00CC450A">
        <w:t>UCSF TRC</w:t>
      </w:r>
      <w:r>
        <w:t xml:space="preserve"> m</w:t>
      </w:r>
      <w:r w:rsidR="00CC450A">
        <w:t>odel</w:t>
      </w:r>
      <w:r>
        <w:t xml:space="preserve"> in the administration </w:t>
      </w:r>
      <w:r w:rsidR="009B7B9A">
        <w:t xml:space="preserve">of their </w:t>
      </w:r>
      <w:r w:rsidR="0075285C">
        <w:t xml:space="preserve">TRC </w:t>
      </w:r>
      <w:r w:rsidR="009B7B9A">
        <w:t xml:space="preserve">program. </w:t>
      </w:r>
      <w:r w:rsidR="00B20851">
        <w:t>Grant applications submitted</w:t>
      </w:r>
      <w:r w:rsidR="00895893">
        <w:t xml:space="preserve"> </w:t>
      </w:r>
      <w:r w:rsidR="00F15179">
        <w:t xml:space="preserve">in response to this NOFA </w:t>
      </w:r>
      <w:r w:rsidR="008B0AF1">
        <w:t>must</w:t>
      </w:r>
      <w:r w:rsidR="009B7B9A">
        <w:t xml:space="preserve"> </w:t>
      </w:r>
      <w:r w:rsidR="009B7B9A" w:rsidRPr="0020489D">
        <w:t xml:space="preserve">demonstrate </w:t>
      </w:r>
      <w:r w:rsidR="009B7B9A">
        <w:t xml:space="preserve">how </w:t>
      </w:r>
      <w:r w:rsidR="00F15179">
        <w:t>the applicant</w:t>
      </w:r>
      <w:r w:rsidR="009B7B9A">
        <w:t xml:space="preserve"> will </w:t>
      </w:r>
      <w:r>
        <w:t xml:space="preserve">meet </w:t>
      </w:r>
      <w:r w:rsidR="002037D0">
        <w:t>all</w:t>
      </w:r>
      <w:r>
        <w:t xml:space="preserve"> the</w:t>
      </w:r>
      <w:r w:rsidR="00E71D68">
        <w:t xml:space="preserve"> statutory requirements </w:t>
      </w:r>
      <w:r w:rsidR="008A3B3A">
        <w:t>set forth in</w:t>
      </w:r>
      <w:r w:rsidR="00445FAC">
        <w:t xml:space="preserve"> </w:t>
      </w:r>
      <w:bookmarkStart w:id="5" w:name="_Hlk55377012"/>
      <w:r w:rsidR="00445FAC">
        <w:t>Government Code s</w:t>
      </w:r>
      <w:r w:rsidR="0020489D">
        <w:t>ection</w:t>
      </w:r>
      <w:r w:rsidR="00277CED">
        <w:t>s</w:t>
      </w:r>
      <w:r w:rsidR="0020489D">
        <w:t xml:space="preserve"> 13963.1 and 13963.2</w:t>
      </w:r>
      <w:bookmarkEnd w:id="5"/>
      <w:r w:rsidR="0020489D">
        <w:t xml:space="preserve">, </w:t>
      </w:r>
      <w:r w:rsidR="00E71D68">
        <w:t>and additional criteria required by CalVCB</w:t>
      </w:r>
      <w:r w:rsidR="0020489D">
        <w:t xml:space="preserve"> </w:t>
      </w:r>
      <w:r w:rsidR="00A446B2">
        <w:t xml:space="preserve">as outlined in this NOFA </w:t>
      </w:r>
      <w:r w:rsidR="0020489D">
        <w:t xml:space="preserve">as these are the minimum requirements for an application to be considered for scoring. </w:t>
      </w:r>
    </w:p>
    <w:p w14:paraId="7812935E" w14:textId="77777777" w:rsidR="00AD3EC3" w:rsidRPr="006F7BE8" w:rsidRDefault="00395131" w:rsidP="00AD3EC3">
      <w:pPr>
        <w:pStyle w:val="Heading2"/>
      </w:pPr>
      <w:bookmarkStart w:id="6" w:name="_Toc25050427"/>
      <w:bookmarkStart w:id="7" w:name="_Toc26533588"/>
      <w:r>
        <w:lastRenderedPageBreak/>
        <w:t>5</w:t>
      </w:r>
      <w:bookmarkEnd w:id="6"/>
      <w:r w:rsidR="00264D54" w:rsidRPr="006F7BE8">
        <w:t xml:space="preserve">. </w:t>
      </w:r>
      <w:r w:rsidR="00AD3EC3" w:rsidRPr="006F7BE8">
        <w:t>Questions</w:t>
      </w:r>
      <w:bookmarkEnd w:id="7"/>
    </w:p>
    <w:p w14:paraId="6647B0C6" w14:textId="485CE637" w:rsidR="00AD3EC3" w:rsidRDefault="00AD3EC3" w:rsidP="00AD3EC3">
      <w:pPr>
        <w:spacing w:after="60"/>
      </w:pPr>
      <w:r w:rsidRPr="008952F5">
        <w:t xml:space="preserve">Applicants shall submit any questions regarding this NOFA via email to </w:t>
      </w:r>
      <w:hyperlink r:id="rId10" w:history="1">
        <w:r w:rsidRPr="00044B1A">
          <w:rPr>
            <w:rStyle w:val="Hyperlink"/>
          </w:rPr>
          <w:t>Grants@victims.ca.gov</w:t>
        </w:r>
      </w:hyperlink>
      <w:r w:rsidRPr="008952F5">
        <w:t xml:space="preserve"> no later than </w:t>
      </w:r>
      <w:r w:rsidRPr="006A65A8">
        <w:rPr>
          <w:strike/>
        </w:rPr>
        <w:t xml:space="preserve">5:00 p.m. PT on </w:t>
      </w:r>
      <w:r w:rsidR="00243D89" w:rsidRPr="006A65A8">
        <w:rPr>
          <w:strike/>
        </w:rPr>
        <w:t>Thursday</w:t>
      </w:r>
      <w:r w:rsidR="003F77ED" w:rsidRPr="006A65A8">
        <w:rPr>
          <w:strike/>
        </w:rPr>
        <w:t>, December 7,</w:t>
      </w:r>
      <w:r w:rsidRPr="006A65A8">
        <w:rPr>
          <w:strike/>
        </w:rPr>
        <w:t xml:space="preserve"> 2020</w:t>
      </w:r>
      <w:r w:rsidR="006A65A8">
        <w:t xml:space="preserve"> </w:t>
      </w:r>
      <w:r w:rsidR="006A65A8" w:rsidRPr="00FD7E82">
        <w:rPr>
          <w:color w:val="FF0000"/>
          <w:u w:val="single"/>
        </w:rPr>
        <w:t xml:space="preserve">10:00 a.m. PT on </w:t>
      </w:r>
      <w:r w:rsidR="0025659E">
        <w:rPr>
          <w:color w:val="FF0000"/>
          <w:u w:val="single"/>
        </w:rPr>
        <w:t>Friday</w:t>
      </w:r>
      <w:r w:rsidR="006A65A8" w:rsidRPr="00FD7E82">
        <w:rPr>
          <w:color w:val="FF0000"/>
          <w:u w:val="single"/>
        </w:rPr>
        <w:t>, April 1</w:t>
      </w:r>
      <w:r w:rsidR="0025659E">
        <w:rPr>
          <w:color w:val="FF0000"/>
          <w:u w:val="single"/>
        </w:rPr>
        <w:t>6</w:t>
      </w:r>
      <w:r w:rsidR="006A65A8" w:rsidRPr="00FD7E82">
        <w:rPr>
          <w:color w:val="FF0000"/>
          <w:u w:val="single"/>
        </w:rPr>
        <w:t>, 2021</w:t>
      </w:r>
      <w:r w:rsidRPr="006A3057">
        <w:t xml:space="preserve">. Responses </w:t>
      </w:r>
      <w:r w:rsidRPr="008952F5">
        <w:t xml:space="preserve">to all inquiries will be posted on </w:t>
      </w:r>
      <w:r w:rsidR="001367B4">
        <w:t xml:space="preserve">the </w:t>
      </w:r>
      <w:hyperlink r:id="rId11" w:history="1">
        <w:proofErr w:type="gramStart"/>
        <w:r w:rsidR="001367B4" w:rsidRPr="001367B4">
          <w:rPr>
            <w:rStyle w:val="Hyperlink"/>
          </w:rPr>
          <w:t>Grants</w:t>
        </w:r>
        <w:proofErr w:type="gramEnd"/>
        <w:r w:rsidR="001367B4" w:rsidRPr="001367B4">
          <w:rPr>
            <w:rStyle w:val="Hyperlink"/>
          </w:rPr>
          <w:t xml:space="preserve"> page of the CalVCB website</w:t>
        </w:r>
      </w:hyperlink>
      <w:r w:rsidRPr="008952F5">
        <w:t xml:space="preserve">  </w:t>
      </w:r>
      <w:r>
        <w:t>by</w:t>
      </w:r>
      <w:r w:rsidRPr="008952F5">
        <w:t xml:space="preserve"> </w:t>
      </w:r>
      <w:r w:rsidRPr="006A65A8">
        <w:rPr>
          <w:strike/>
        </w:rPr>
        <w:t xml:space="preserve">5:00 p.m. PT on </w:t>
      </w:r>
      <w:r w:rsidR="008B2ACA" w:rsidRPr="006A65A8">
        <w:rPr>
          <w:strike/>
        </w:rPr>
        <w:t>Wedne</w:t>
      </w:r>
      <w:r w:rsidR="003F77ED" w:rsidRPr="006A65A8">
        <w:rPr>
          <w:strike/>
        </w:rPr>
        <w:t>sday</w:t>
      </w:r>
      <w:r w:rsidR="001367B4" w:rsidRPr="006A65A8">
        <w:rPr>
          <w:strike/>
        </w:rPr>
        <w:t>,</w:t>
      </w:r>
      <w:r w:rsidR="003F77ED" w:rsidRPr="006A65A8">
        <w:rPr>
          <w:strike/>
        </w:rPr>
        <w:t xml:space="preserve"> December 10,</w:t>
      </w:r>
      <w:r w:rsidRPr="006A65A8">
        <w:rPr>
          <w:strike/>
        </w:rPr>
        <w:t xml:space="preserve"> 2020</w:t>
      </w:r>
      <w:r w:rsidR="00FD7E82">
        <w:rPr>
          <w:strike/>
        </w:rPr>
        <w:t xml:space="preserve"> </w:t>
      </w:r>
      <w:r w:rsidR="00FD7E82" w:rsidRPr="00FD7E82">
        <w:rPr>
          <w:color w:val="FF0000"/>
          <w:u w:val="single"/>
        </w:rPr>
        <w:t xml:space="preserve">4:00 p.m. PT on </w:t>
      </w:r>
      <w:r w:rsidR="0025659E">
        <w:rPr>
          <w:color w:val="FF0000"/>
          <w:u w:val="single"/>
        </w:rPr>
        <w:t>Monday</w:t>
      </w:r>
      <w:r w:rsidR="00FD7E82" w:rsidRPr="00FD7E82">
        <w:rPr>
          <w:color w:val="FF0000"/>
          <w:u w:val="single"/>
        </w:rPr>
        <w:t>, April 1</w:t>
      </w:r>
      <w:r w:rsidR="0025659E">
        <w:rPr>
          <w:color w:val="FF0000"/>
          <w:u w:val="single"/>
        </w:rPr>
        <w:t>9</w:t>
      </w:r>
      <w:r w:rsidR="00FD7E82" w:rsidRPr="00FD7E82">
        <w:rPr>
          <w:color w:val="FF0000"/>
          <w:u w:val="single"/>
        </w:rPr>
        <w:t>, 2021</w:t>
      </w:r>
      <w:r w:rsidRPr="006A3057">
        <w:t>.</w:t>
      </w:r>
    </w:p>
    <w:p w14:paraId="17225292" w14:textId="0D23ADAB" w:rsidR="00AD3EC3" w:rsidRPr="006F7BE8" w:rsidRDefault="00AD3EC3" w:rsidP="00AD3EC3">
      <w:pPr>
        <w:pStyle w:val="Heading2"/>
      </w:pPr>
      <w:bookmarkStart w:id="8" w:name="_Toc26533589"/>
      <w:r>
        <w:t>6.</w:t>
      </w:r>
      <w:r w:rsidRPr="00AD3EC3">
        <w:t xml:space="preserve"> </w:t>
      </w:r>
      <w:r w:rsidRPr="006F7BE8">
        <w:t xml:space="preserve">Application </w:t>
      </w:r>
      <w:r w:rsidR="00A665E8">
        <w:t>Submission</w:t>
      </w:r>
      <w:bookmarkEnd w:id="8"/>
      <w:r w:rsidRPr="006F7BE8">
        <w:t xml:space="preserve"> </w:t>
      </w:r>
    </w:p>
    <w:p w14:paraId="70EBED18" w14:textId="65029943" w:rsidR="00AD3EC3" w:rsidRPr="00A665E8" w:rsidRDefault="00F77B26" w:rsidP="00A665E8">
      <w:pPr>
        <w:spacing w:after="60"/>
        <w:rPr>
          <w:b/>
        </w:rPr>
      </w:pPr>
      <w:r w:rsidRPr="00F77B26">
        <w:rPr>
          <w:color w:val="FF0000"/>
          <w:u w:val="single"/>
        </w:rPr>
        <w:t>Amended grant applications should be in the form of a Word document showing track changes to illustrate edits to initial applications</w:t>
      </w:r>
      <w:r w:rsidR="00F12400">
        <w:rPr>
          <w:color w:val="FF0000"/>
          <w:u w:val="single"/>
        </w:rPr>
        <w:t xml:space="preserve"> with new text highlighted in yellow,</w:t>
      </w:r>
      <w:r w:rsidRPr="00F77B26">
        <w:rPr>
          <w:color w:val="FF0000"/>
        </w:rPr>
        <w:t xml:space="preserve"> </w:t>
      </w:r>
      <w:r w:rsidR="00A665E8" w:rsidRPr="00F77B26">
        <w:rPr>
          <w:strike/>
        </w:rPr>
        <w:t>Grant applications should be in the form of a single PDF file</w:t>
      </w:r>
      <w:r w:rsidR="00A665E8">
        <w:t xml:space="preserve"> and must be submitted via email to </w:t>
      </w:r>
      <w:hyperlink r:id="rId12" w:history="1">
        <w:r w:rsidR="00A665E8" w:rsidRPr="002563C6">
          <w:rPr>
            <w:rStyle w:val="Hyperlink"/>
          </w:rPr>
          <w:t>Grants@victims.ca.gov</w:t>
        </w:r>
      </w:hyperlink>
      <w:r w:rsidR="00A665E8">
        <w:t xml:space="preserve"> </w:t>
      </w:r>
      <w:r w:rsidR="00AD3EC3" w:rsidRPr="006A3057">
        <w:t xml:space="preserve">no later than 2:00 p.m. PT on </w:t>
      </w:r>
      <w:r w:rsidR="00E673BD" w:rsidRPr="00F77B26">
        <w:rPr>
          <w:strike/>
        </w:rPr>
        <w:t>Wednesday</w:t>
      </w:r>
      <w:r w:rsidR="00AD3EC3" w:rsidRPr="00F77B26">
        <w:rPr>
          <w:strike/>
        </w:rPr>
        <w:t>,</w:t>
      </w:r>
      <w:r w:rsidR="00E673BD" w:rsidRPr="00F77B26">
        <w:rPr>
          <w:strike/>
        </w:rPr>
        <w:t xml:space="preserve"> December </w:t>
      </w:r>
      <w:r w:rsidR="003F77ED" w:rsidRPr="00F77B26">
        <w:rPr>
          <w:strike/>
        </w:rPr>
        <w:t>30</w:t>
      </w:r>
      <w:r w:rsidR="00AD3EC3" w:rsidRPr="00F77B26">
        <w:rPr>
          <w:strike/>
        </w:rPr>
        <w:t>, 2020</w:t>
      </w:r>
      <w:r>
        <w:t xml:space="preserve"> </w:t>
      </w:r>
      <w:r w:rsidRPr="00F77B26">
        <w:rPr>
          <w:color w:val="FF0000"/>
          <w:u w:val="single"/>
        </w:rPr>
        <w:t>Monday, April 26, 2021</w:t>
      </w:r>
      <w:r w:rsidR="00AD3EC3" w:rsidRPr="006A3057">
        <w:t xml:space="preserve">. </w:t>
      </w:r>
      <w:r w:rsidR="00A665E8">
        <w:t>A</w:t>
      </w:r>
      <w:r w:rsidR="00A665E8" w:rsidRPr="001E056A">
        <w:t>pplicants will receive an email confirming receipt of their application</w:t>
      </w:r>
      <w:r w:rsidR="00A665E8">
        <w:t xml:space="preserve">. If confirmation is not received within one (1) hour of email submission during regular business hours, applicants should call </w:t>
      </w:r>
      <w:r w:rsidR="00E673BD">
        <w:t xml:space="preserve">Elizabeth Schmahl at (916) 491-3682 </w:t>
      </w:r>
      <w:r w:rsidR="00A665E8">
        <w:t xml:space="preserve">or Kara Poteat at (916) 491-3553. </w:t>
      </w:r>
      <w:r w:rsidRPr="00F77B26">
        <w:rPr>
          <w:color w:val="FF0000"/>
          <w:u w:val="single"/>
        </w:rPr>
        <w:t xml:space="preserve">Initial </w:t>
      </w:r>
      <w:r>
        <w:t>a</w:t>
      </w:r>
      <w:r w:rsidR="00AD3EC3" w:rsidRPr="00EF4656">
        <w:t>pplications received after 2:00 p.m. PT</w:t>
      </w:r>
      <w:r w:rsidR="00AD3EC3">
        <w:t xml:space="preserve"> </w:t>
      </w:r>
      <w:r w:rsidR="00A665E8">
        <w:t xml:space="preserve">on </w:t>
      </w:r>
      <w:r w:rsidR="00E673BD">
        <w:t>Wednesday</w:t>
      </w:r>
      <w:r w:rsidR="00040751" w:rsidRPr="00A23650">
        <w:t xml:space="preserve">, </w:t>
      </w:r>
      <w:r w:rsidR="00E673BD">
        <w:t xml:space="preserve">December </w:t>
      </w:r>
      <w:r w:rsidR="003F77ED">
        <w:t>30</w:t>
      </w:r>
      <w:r w:rsidR="00040751" w:rsidRPr="00A23650">
        <w:t>, 20</w:t>
      </w:r>
      <w:r w:rsidR="00040751">
        <w:t>20</w:t>
      </w:r>
      <w:r w:rsidR="00A665E8">
        <w:t xml:space="preserve"> </w:t>
      </w:r>
      <w:proofErr w:type="gramStart"/>
      <w:r w:rsidR="00AD3EC3" w:rsidRPr="00F77B26">
        <w:rPr>
          <w:strike/>
        </w:rPr>
        <w:t>will be</w:t>
      </w:r>
      <w:r>
        <w:rPr>
          <w:strike/>
        </w:rPr>
        <w:t xml:space="preserve"> </w:t>
      </w:r>
      <w:r w:rsidRPr="00F77B26">
        <w:rPr>
          <w:color w:val="FF0000"/>
          <w:u w:val="single"/>
        </w:rPr>
        <w:t>were</w:t>
      </w:r>
      <w:proofErr w:type="gramEnd"/>
      <w:r w:rsidR="00AD3EC3" w:rsidRPr="00F77B26">
        <w:t xml:space="preserve"> </w:t>
      </w:r>
      <w:r w:rsidR="00AD3EC3" w:rsidRPr="00EF4656">
        <w:t>rejected.</w:t>
      </w:r>
    </w:p>
    <w:p w14:paraId="2807F6B7" w14:textId="620C10D5" w:rsidR="00264D54" w:rsidRPr="006F7BE8" w:rsidRDefault="00A665E8" w:rsidP="00264D54">
      <w:pPr>
        <w:pStyle w:val="Heading2"/>
      </w:pPr>
      <w:bookmarkStart w:id="9" w:name="_Toc26533590"/>
      <w:r>
        <w:t xml:space="preserve">7. </w:t>
      </w:r>
      <w:r w:rsidR="00264D54" w:rsidRPr="006F7BE8">
        <w:t>Application Instructions</w:t>
      </w:r>
      <w:bookmarkEnd w:id="9"/>
      <w:r w:rsidR="00264D54" w:rsidRPr="006F7BE8">
        <w:t xml:space="preserve"> </w:t>
      </w:r>
    </w:p>
    <w:p w14:paraId="48ACB59D" w14:textId="1066096E" w:rsidR="00264D54" w:rsidRPr="006F7BE8" w:rsidRDefault="00264D54" w:rsidP="00264D54">
      <w:pPr>
        <w:spacing w:after="60"/>
      </w:pPr>
      <w:r w:rsidRPr="006F7BE8">
        <w:t>Formatting</w:t>
      </w:r>
      <w:r>
        <w:t xml:space="preserve"> requirements for Program Narrative</w:t>
      </w:r>
      <w:r w:rsidR="007C3C1E">
        <w:t xml:space="preserve">, </w:t>
      </w:r>
      <w:r>
        <w:t>Time Task Plan, and Budget Narrative</w:t>
      </w:r>
      <w:r w:rsidRPr="006F7BE8">
        <w:t>:</w:t>
      </w:r>
    </w:p>
    <w:p w14:paraId="24C01583" w14:textId="69871D8B" w:rsidR="00264D54" w:rsidRDefault="00264D54" w:rsidP="00264D54">
      <w:pPr>
        <w:pStyle w:val="ListParagraph"/>
        <w:numPr>
          <w:ilvl w:val="0"/>
          <w:numId w:val="5"/>
        </w:numPr>
        <w:spacing w:after="60"/>
        <w:contextualSpacing w:val="0"/>
      </w:pPr>
      <w:r w:rsidRPr="006F7BE8">
        <w:t>11-point Arial font</w:t>
      </w:r>
    </w:p>
    <w:p w14:paraId="78061562" w14:textId="77777777" w:rsidR="00264D54" w:rsidRPr="006F7BE8" w:rsidRDefault="00264D54" w:rsidP="00264D54">
      <w:pPr>
        <w:pStyle w:val="ListParagraph"/>
        <w:numPr>
          <w:ilvl w:val="0"/>
          <w:numId w:val="5"/>
        </w:numPr>
        <w:spacing w:after="60"/>
        <w:contextualSpacing w:val="0"/>
      </w:pPr>
      <w:r>
        <w:t>Double-Spaced</w:t>
      </w:r>
    </w:p>
    <w:p w14:paraId="1C6F45CB" w14:textId="77777777" w:rsidR="00264D54" w:rsidRPr="006F7BE8" w:rsidRDefault="00264D54" w:rsidP="00264D54">
      <w:pPr>
        <w:pStyle w:val="ListParagraph"/>
        <w:numPr>
          <w:ilvl w:val="0"/>
          <w:numId w:val="5"/>
        </w:numPr>
        <w:spacing w:after="60"/>
        <w:contextualSpacing w:val="0"/>
      </w:pPr>
      <w:r w:rsidRPr="006F7BE8">
        <w:t xml:space="preserve">One-inch margins </w:t>
      </w:r>
    </w:p>
    <w:p w14:paraId="73D53384" w14:textId="77777777" w:rsidR="00264D54" w:rsidRPr="006F7BE8" w:rsidRDefault="00264D54" w:rsidP="00264D54">
      <w:pPr>
        <w:pStyle w:val="ListParagraph"/>
        <w:numPr>
          <w:ilvl w:val="0"/>
          <w:numId w:val="5"/>
        </w:numPr>
        <w:spacing w:after="60"/>
        <w:contextualSpacing w:val="0"/>
      </w:pPr>
      <w:r w:rsidRPr="006F7BE8">
        <w:t>Number all pages of the application packet</w:t>
      </w:r>
    </w:p>
    <w:p w14:paraId="68E7616D" w14:textId="76C58923" w:rsidR="00AD0C25" w:rsidRDefault="007C3C1E" w:rsidP="00264D54">
      <w:pPr>
        <w:spacing w:after="60"/>
      </w:pPr>
      <w:r>
        <w:t>Utilize the 202</w:t>
      </w:r>
      <w:r w:rsidR="008A45EA">
        <w:t>1</w:t>
      </w:r>
      <w:r>
        <w:t xml:space="preserve"> CalVCB TRC </w:t>
      </w:r>
      <w:r w:rsidR="00690C26">
        <w:t xml:space="preserve">Amended </w:t>
      </w:r>
      <w:r w:rsidR="007546CF">
        <w:t xml:space="preserve">Grant Application Cover Sheet and Program Narrative template to complete the application. </w:t>
      </w:r>
    </w:p>
    <w:p w14:paraId="5BE8149B" w14:textId="1AD3235B" w:rsidR="00AD0C25" w:rsidRPr="00AD0C25" w:rsidRDefault="00AD0C25" w:rsidP="00264D54">
      <w:pPr>
        <w:spacing w:after="60"/>
        <w:rPr>
          <w:color w:val="FF0000"/>
          <w:u w:val="single"/>
        </w:rPr>
      </w:pPr>
      <w:r w:rsidRPr="00AD0C25">
        <w:rPr>
          <w:color w:val="FF0000"/>
          <w:u w:val="single"/>
        </w:rPr>
        <w:t>Applicants whose initial applications were accepted and scored under the November 30, 2020 NOFA are invited to submit amended applications with revisions for consideration. Amended applications shall be submitted in the form of a Microsoft Word document showing track changes to illustrate edits</w:t>
      </w:r>
      <w:r w:rsidR="00914067">
        <w:rPr>
          <w:color w:val="FF0000"/>
          <w:u w:val="single"/>
        </w:rPr>
        <w:t xml:space="preserve"> with all new text highlighted in yellow</w:t>
      </w:r>
      <w:r w:rsidRPr="00AD0C25">
        <w:rPr>
          <w:color w:val="FF0000"/>
          <w:u w:val="single"/>
        </w:rPr>
        <w:t>.</w:t>
      </w:r>
    </w:p>
    <w:p w14:paraId="552646B0" w14:textId="15852960" w:rsidR="00264D54" w:rsidRPr="006F7BE8" w:rsidRDefault="00264D54" w:rsidP="00264D54">
      <w:pPr>
        <w:spacing w:after="60"/>
      </w:pPr>
      <w:r w:rsidRPr="006F7BE8">
        <w:t xml:space="preserve">The </w:t>
      </w:r>
      <w:r w:rsidR="00AD0C25" w:rsidRPr="00AD0C25">
        <w:rPr>
          <w:color w:val="FF0000"/>
          <w:u w:val="single"/>
        </w:rPr>
        <w:t xml:space="preserve">amended </w:t>
      </w:r>
      <w:r>
        <w:t>application</w:t>
      </w:r>
      <w:r w:rsidRPr="006F7BE8">
        <w:t xml:space="preserve"> </w:t>
      </w:r>
      <w:r w:rsidR="0044303F">
        <w:t xml:space="preserve">template can be found </w:t>
      </w:r>
      <w:hyperlink r:id="rId13" w:history="1">
        <w:r w:rsidR="00D13E21">
          <w:rPr>
            <w:rStyle w:val="Hyperlink"/>
          </w:rPr>
          <w:t>here</w:t>
        </w:r>
      </w:hyperlink>
      <w:r w:rsidR="0044303F">
        <w:t xml:space="preserve"> and </w:t>
      </w:r>
      <w:r w:rsidRPr="006F7BE8">
        <w:t xml:space="preserve">must </w:t>
      </w:r>
      <w:r w:rsidR="007546CF">
        <w:t>be completed as follows</w:t>
      </w:r>
      <w:r w:rsidRPr="006F7BE8">
        <w:t xml:space="preserve">: </w:t>
      </w:r>
    </w:p>
    <w:p w14:paraId="19AA103E" w14:textId="42BCFE5C" w:rsidR="0044303F" w:rsidRDefault="0044303F" w:rsidP="003077B5">
      <w:pPr>
        <w:pStyle w:val="ListParagraph"/>
        <w:numPr>
          <w:ilvl w:val="0"/>
          <w:numId w:val="6"/>
        </w:numPr>
        <w:spacing w:after="60"/>
        <w:contextualSpacing w:val="0"/>
      </w:pPr>
      <w:r>
        <w:t xml:space="preserve">Cover Sheet: </w:t>
      </w:r>
      <w:r w:rsidR="00A446B2">
        <w:t>Provide</w:t>
      </w:r>
      <w:r>
        <w:t xml:space="preserve"> responses to</w:t>
      </w:r>
      <w:r w:rsidR="00592A67">
        <w:t xml:space="preserve"> 1 through</w:t>
      </w:r>
      <w:r>
        <w:t xml:space="preserve"> 11</w:t>
      </w:r>
      <w:r w:rsidR="00914067" w:rsidRPr="00914067">
        <w:rPr>
          <w:color w:val="FF0000"/>
          <w:u w:val="single"/>
        </w:rPr>
        <w:t xml:space="preserve"> </w:t>
      </w:r>
      <w:r w:rsidR="00914067" w:rsidRPr="00DC3112">
        <w:rPr>
          <w:color w:val="FF0000"/>
          <w:u w:val="single"/>
        </w:rPr>
        <w:t>utiliz</w:t>
      </w:r>
      <w:r w:rsidR="00914067">
        <w:rPr>
          <w:color w:val="FF0000"/>
          <w:u w:val="single"/>
        </w:rPr>
        <w:t>ing</w:t>
      </w:r>
      <w:r w:rsidR="00914067" w:rsidRPr="00DC3112">
        <w:rPr>
          <w:color w:val="FF0000"/>
          <w:u w:val="single"/>
        </w:rPr>
        <w:t xml:space="preserve"> track changes to show edits</w:t>
      </w:r>
      <w:r w:rsidR="00914067">
        <w:rPr>
          <w:color w:val="FF0000"/>
          <w:u w:val="single"/>
        </w:rPr>
        <w:t xml:space="preserve"> on amended applications</w:t>
      </w:r>
      <w:r w:rsidR="00914067" w:rsidRPr="00DC3112">
        <w:rPr>
          <w:color w:val="FF0000"/>
          <w:u w:val="single"/>
        </w:rPr>
        <w:t xml:space="preserve"> </w:t>
      </w:r>
      <w:r w:rsidR="00914067">
        <w:rPr>
          <w:color w:val="FF0000"/>
          <w:u w:val="single"/>
        </w:rPr>
        <w:t>with</w:t>
      </w:r>
      <w:r w:rsidR="00914067" w:rsidRPr="00DC3112">
        <w:rPr>
          <w:color w:val="FF0000"/>
          <w:u w:val="single"/>
        </w:rPr>
        <w:t xml:space="preserve"> all new text </w:t>
      </w:r>
      <w:r w:rsidR="00914067">
        <w:rPr>
          <w:color w:val="FF0000"/>
          <w:u w:val="single"/>
        </w:rPr>
        <w:t xml:space="preserve">highlighted </w:t>
      </w:r>
      <w:r w:rsidR="00914067" w:rsidRPr="00DC3112">
        <w:rPr>
          <w:color w:val="FF0000"/>
          <w:u w:val="single"/>
        </w:rPr>
        <w:t>in yellow</w:t>
      </w:r>
    </w:p>
    <w:p w14:paraId="7FF23745" w14:textId="5E0B035B" w:rsidR="00264D54" w:rsidRDefault="00264D54" w:rsidP="003077B5">
      <w:pPr>
        <w:pStyle w:val="ListParagraph"/>
        <w:numPr>
          <w:ilvl w:val="0"/>
          <w:numId w:val="6"/>
        </w:numPr>
        <w:spacing w:after="60"/>
        <w:contextualSpacing w:val="0"/>
      </w:pPr>
      <w:r w:rsidRPr="00BE21AD">
        <w:t>Program narrative</w:t>
      </w:r>
      <w:r w:rsidR="0044303F">
        <w:t xml:space="preserve">: </w:t>
      </w:r>
      <w:r w:rsidR="002104C5">
        <w:t>Provide w</w:t>
      </w:r>
      <w:r w:rsidR="00592A67">
        <w:t xml:space="preserve">ritten responses to 12 through </w:t>
      </w:r>
      <w:r w:rsidR="0044303F">
        <w:t>1</w:t>
      </w:r>
      <w:r w:rsidR="00DD38C8">
        <w:t>9</w:t>
      </w:r>
      <w:r w:rsidR="00DC3112">
        <w:t xml:space="preserve">, </w:t>
      </w:r>
      <w:r w:rsidR="00DC3112" w:rsidRPr="00DC3112">
        <w:rPr>
          <w:color w:val="FF0000"/>
          <w:u w:val="single"/>
        </w:rPr>
        <w:t>utiliz</w:t>
      </w:r>
      <w:r w:rsidR="00DC3112">
        <w:rPr>
          <w:color w:val="FF0000"/>
          <w:u w:val="single"/>
        </w:rPr>
        <w:t>ing</w:t>
      </w:r>
      <w:r w:rsidR="00DC3112" w:rsidRPr="00DC3112">
        <w:rPr>
          <w:color w:val="FF0000"/>
          <w:u w:val="single"/>
        </w:rPr>
        <w:t xml:space="preserve"> track changes to show edits</w:t>
      </w:r>
      <w:r w:rsidR="00DC3112">
        <w:rPr>
          <w:color w:val="FF0000"/>
          <w:u w:val="single"/>
        </w:rPr>
        <w:t xml:space="preserve"> on amended applications</w:t>
      </w:r>
      <w:r w:rsidR="00DC3112" w:rsidRPr="00DC3112">
        <w:rPr>
          <w:color w:val="FF0000"/>
          <w:u w:val="single"/>
        </w:rPr>
        <w:t xml:space="preserve"> </w:t>
      </w:r>
      <w:r w:rsidR="00DC3112">
        <w:rPr>
          <w:color w:val="FF0000"/>
          <w:u w:val="single"/>
        </w:rPr>
        <w:t>with</w:t>
      </w:r>
      <w:r w:rsidR="00DC3112" w:rsidRPr="00DC3112">
        <w:rPr>
          <w:color w:val="FF0000"/>
          <w:u w:val="single"/>
        </w:rPr>
        <w:t xml:space="preserve"> all new text </w:t>
      </w:r>
      <w:r w:rsidR="00DC3112">
        <w:rPr>
          <w:color w:val="FF0000"/>
          <w:u w:val="single"/>
        </w:rPr>
        <w:t xml:space="preserve">highlighted </w:t>
      </w:r>
      <w:r w:rsidR="00DC3112" w:rsidRPr="00DC3112">
        <w:rPr>
          <w:color w:val="FF0000"/>
          <w:u w:val="single"/>
        </w:rPr>
        <w:t>in yellow</w:t>
      </w:r>
      <w:r w:rsidR="008A3B3A" w:rsidRPr="00DC3112">
        <w:rPr>
          <w:color w:val="FF0000"/>
          <w:u w:val="single"/>
        </w:rPr>
        <w:t>,</w:t>
      </w:r>
      <w:r w:rsidR="008A3B3A">
        <w:t xml:space="preserve"> which shall not exceed</w:t>
      </w:r>
      <w:r w:rsidRPr="00BE21AD">
        <w:t xml:space="preserve"> </w:t>
      </w:r>
      <w:r>
        <w:t>15</w:t>
      </w:r>
      <w:r w:rsidRPr="00BE21AD">
        <w:t xml:space="preserve"> pages</w:t>
      </w:r>
      <w:r>
        <w:t xml:space="preserve"> </w:t>
      </w:r>
      <w:r w:rsidRPr="00130221">
        <w:t>in length</w:t>
      </w:r>
    </w:p>
    <w:p w14:paraId="4C418A2E" w14:textId="026B96BC" w:rsidR="00AD0C25" w:rsidRPr="00AD0C25" w:rsidRDefault="00AD0C25" w:rsidP="003077B5">
      <w:pPr>
        <w:pStyle w:val="ListParagraph"/>
        <w:numPr>
          <w:ilvl w:val="0"/>
          <w:numId w:val="6"/>
        </w:numPr>
        <w:spacing w:after="60"/>
        <w:contextualSpacing w:val="0"/>
        <w:rPr>
          <w:color w:val="FF0000"/>
          <w:u w:val="single"/>
        </w:rPr>
      </w:pPr>
      <w:r w:rsidRPr="00AD0C25">
        <w:rPr>
          <w:color w:val="FF0000"/>
          <w:u w:val="single"/>
        </w:rPr>
        <w:t xml:space="preserve">Supplemental Questions: Provide written responses to </w:t>
      </w:r>
      <w:r w:rsidR="00DD38C8">
        <w:rPr>
          <w:color w:val="FF0000"/>
          <w:u w:val="single"/>
        </w:rPr>
        <w:t>21</w:t>
      </w:r>
      <w:r w:rsidRPr="00AD0C25">
        <w:rPr>
          <w:color w:val="FF0000"/>
          <w:u w:val="single"/>
        </w:rPr>
        <w:t xml:space="preserve"> through 2</w:t>
      </w:r>
      <w:r w:rsidR="0025659E">
        <w:rPr>
          <w:color w:val="FF0000"/>
          <w:u w:val="single"/>
        </w:rPr>
        <w:t>3</w:t>
      </w:r>
      <w:r w:rsidRPr="00AD0C25">
        <w:rPr>
          <w:color w:val="FF0000"/>
          <w:u w:val="single"/>
        </w:rPr>
        <w:t>, which shall not exceed five pages in length</w:t>
      </w:r>
      <w:r w:rsidR="00652854">
        <w:rPr>
          <w:color w:val="FF0000"/>
          <w:u w:val="single"/>
        </w:rPr>
        <w:t xml:space="preserve"> for a total program narrative length of 20 pages</w:t>
      </w:r>
    </w:p>
    <w:p w14:paraId="6F7B25CE" w14:textId="4FA22E55" w:rsidR="007546CF" w:rsidRDefault="007546CF" w:rsidP="00264D54">
      <w:pPr>
        <w:pStyle w:val="ListParagraph"/>
        <w:numPr>
          <w:ilvl w:val="0"/>
          <w:numId w:val="6"/>
        </w:numPr>
        <w:spacing w:after="60"/>
        <w:contextualSpacing w:val="0"/>
      </w:pPr>
      <w:r>
        <w:t>Attachments</w:t>
      </w:r>
      <w:r w:rsidR="008A3B3A">
        <w:t xml:space="preserve"> shall include</w:t>
      </w:r>
      <w:r>
        <w:t>:</w:t>
      </w:r>
    </w:p>
    <w:p w14:paraId="0A3F4516" w14:textId="16D4D7C5" w:rsidR="00264D54" w:rsidRPr="00C2448F" w:rsidRDefault="008A3B3A" w:rsidP="007546CF">
      <w:pPr>
        <w:pStyle w:val="ListParagraph"/>
        <w:numPr>
          <w:ilvl w:val="1"/>
          <w:numId w:val="6"/>
        </w:numPr>
        <w:spacing w:after="60"/>
        <w:contextualSpacing w:val="0"/>
      </w:pPr>
      <w:r>
        <w:lastRenderedPageBreak/>
        <w:t>A f</w:t>
      </w:r>
      <w:r w:rsidR="00264D54" w:rsidRPr="00BE21AD">
        <w:t xml:space="preserve">low </w:t>
      </w:r>
      <w:r>
        <w:t>c</w:t>
      </w:r>
      <w:r w:rsidR="00264D54" w:rsidRPr="00BE21AD">
        <w:t xml:space="preserve">hart </w:t>
      </w:r>
      <w:r>
        <w:t>showing</w:t>
      </w:r>
      <w:r w:rsidRPr="00BE21AD">
        <w:t xml:space="preserve"> </w:t>
      </w:r>
      <w:r w:rsidR="00264D54" w:rsidRPr="00C2448F">
        <w:t xml:space="preserve">the process of </w:t>
      </w:r>
      <w:r w:rsidR="00264D54">
        <w:t>providing services to</w:t>
      </w:r>
      <w:r w:rsidR="00264D54" w:rsidRPr="00C2448F">
        <w:t xml:space="preserve"> clients, </w:t>
      </w:r>
      <w:r w:rsidR="00264D54">
        <w:t xml:space="preserve">from intake to </w:t>
      </w:r>
      <w:r w:rsidR="00264D54" w:rsidRPr="004E17FB">
        <w:t>discharge</w:t>
      </w:r>
    </w:p>
    <w:p w14:paraId="384A0993" w14:textId="1D1CCDEA" w:rsidR="00264D54" w:rsidRPr="00D75780" w:rsidRDefault="008A3B3A" w:rsidP="007546CF">
      <w:pPr>
        <w:pStyle w:val="ListParagraph"/>
        <w:numPr>
          <w:ilvl w:val="1"/>
          <w:numId w:val="6"/>
        </w:numPr>
        <w:spacing w:after="60"/>
        <w:contextualSpacing w:val="0"/>
        <w:rPr>
          <w:i/>
        </w:rPr>
      </w:pPr>
      <w:r>
        <w:t>A d</w:t>
      </w:r>
      <w:r w:rsidR="00264D54" w:rsidRPr="006A3057">
        <w:t xml:space="preserve">etailed time task plan including dates when eligible goals, objectives, milestones, and activities </w:t>
      </w:r>
      <w:r w:rsidR="00264D54">
        <w:t xml:space="preserve">relating to the implementation of the TRC </w:t>
      </w:r>
      <w:r w:rsidR="00264D54" w:rsidRPr="006A3057">
        <w:t xml:space="preserve">will be </w:t>
      </w:r>
      <w:r w:rsidR="00264D54" w:rsidRPr="004E17FB">
        <w:t>accomplished</w:t>
      </w:r>
    </w:p>
    <w:p w14:paraId="0B5E292B" w14:textId="3B121836" w:rsidR="00264D54" w:rsidRDefault="00264D54" w:rsidP="007546CF">
      <w:pPr>
        <w:pStyle w:val="ListParagraph"/>
        <w:numPr>
          <w:ilvl w:val="2"/>
          <w:numId w:val="6"/>
        </w:numPr>
        <w:spacing w:after="60"/>
        <w:contextualSpacing w:val="0"/>
      </w:pPr>
      <w:r w:rsidRPr="00D75780">
        <w:t>The time task plan must include</w:t>
      </w:r>
      <w:r w:rsidR="00592A67">
        <w:t xml:space="preserve"> the </w:t>
      </w:r>
      <w:r w:rsidR="00231683">
        <w:t>timeframe</w:t>
      </w:r>
      <w:r w:rsidRPr="00D75780">
        <w:t xml:space="preserve"> in which new staff will be </w:t>
      </w:r>
      <w:r w:rsidRPr="004E17FB">
        <w:t>hired</w:t>
      </w:r>
    </w:p>
    <w:p w14:paraId="11271FA1" w14:textId="403794ED" w:rsidR="00231683" w:rsidRPr="00D75780" w:rsidRDefault="008A3B3A" w:rsidP="00231683">
      <w:pPr>
        <w:pStyle w:val="ListParagraph"/>
        <w:numPr>
          <w:ilvl w:val="1"/>
          <w:numId w:val="6"/>
        </w:numPr>
        <w:spacing w:after="60"/>
        <w:contextualSpacing w:val="0"/>
      </w:pPr>
      <w:r>
        <w:t xml:space="preserve">An </w:t>
      </w:r>
      <w:r w:rsidR="00231683">
        <w:t xml:space="preserve">Organizational Chart of all positions </w:t>
      </w:r>
      <w:r w:rsidR="00C92BDD">
        <w:t>for</w:t>
      </w:r>
      <w:r w:rsidR="00846F95">
        <w:t xml:space="preserve"> the</w:t>
      </w:r>
      <w:r w:rsidR="00C92BDD">
        <w:t xml:space="preserve"> TRC </w:t>
      </w:r>
      <w:r w:rsidR="005D54C4">
        <w:t>including</w:t>
      </w:r>
      <w:r w:rsidR="00C81348">
        <w:t>,</w:t>
      </w:r>
      <w:r w:rsidR="005D54C4">
        <w:t xml:space="preserve"> and clearly indicating</w:t>
      </w:r>
      <w:r w:rsidR="00C81348">
        <w:t>,</w:t>
      </w:r>
      <w:r w:rsidR="005D54C4">
        <w:t xml:space="preserve"> staff from</w:t>
      </w:r>
      <w:r w:rsidR="00C92BDD">
        <w:t xml:space="preserve"> any </w:t>
      </w:r>
      <w:r w:rsidR="005D54C4">
        <w:t>s</w:t>
      </w:r>
      <w:r w:rsidR="00C92BDD">
        <w:t>ubcontract</w:t>
      </w:r>
      <w:r>
        <w:t>ed</w:t>
      </w:r>
      <w:r w:rsidR="00C92BDD">
        <w:t xml:space="preserve"> </w:t>
      </w:r>
      <w:r w:rsidR="00C92BDD" w:rsidRPr="004E17FB">
        <w:t>organization</w:t>
      </w:r>
    </w:p>
    <w:p w14:paraId="365E0527" w14:textId="05EB83C2" w:rsidR="00264D54" w:rsidRDefault="008A3B3A" w:rsidP="007546CF">
      <w:pPr>
        <w:pStyle w:val="ListParagraph"/>
        <w:numPr>
          <w:ilvl w:val="1"/>
          <w:numId w:val="6"/>
        </w:numPr>
        <w:spacing w:after="60"/>
        <w:contextualSpacing w:val="0"/>
      </w:pPr>
      <w:r>
        <w:t>A c</w:t>
      </w:r>
      <w:r w:rsidR="00395131">
        <w:t>omplete</w:t>
      </w:r>
      <w:r w:rsidR="00A174D1">
        <w:t xml:space="preserve">d </w:t>
      </w:r>
      <w:r w:rsidR="00395131" w:rsidRPr="008A45EA">
        <w:rPr>
          <w:color w:val="0070C0"/>
          <w:u w:val="single"/>
        </w:rPr>
        <w:t>20</w:t>
      </w:r>
      <w:r w:rsidR="00A174D1" w:rsidRPr="008A45EA">
        <w:rPr>
          <w:color w:val="0070C0"/>
          <w:u w:val="single"/>
        </w:rPr>
        <w:t>2</w:t>
      </w:r>
      <w:r w:rsidR="008A45EA" w:rsidRPr="008A45EA">
        <w:rPr>
          <w:color w:val="0070C0"/>
          <w:u w:val="single"/>
        </w:rPr>
        <w:t>1</w:t>
      </w:r>
      <w:r w:rsidR="00395131" w:rsidRPr="008A45EA">
        <w:rPr>
          <w:color w:val="0070C0"/>
          <w:u w:val="single"/>
        </w:rPr>
        <w:t xml:space="preserve"> TRC Budget Worksheet</w:t>
      </w:r>
      <w:r w:rsidR="00395131">
        <w:t>, available on CalVCB’s website</w:t>
      </w:r>
      <w:r w:rsidR="00A174D1">
        <w:t>.</w:t>
      </w:r>
      <w:r w:rsidR="00395131">
        <w:t xml:space="preserve"> </w:t>
      </w:r>
      <w:r w:rsidR="00264D54">
        <w:t>The budget sh</w:t>
      </w:r>
      <w:r>
        <w:t>all</w:t>
      </w:r>
      <w:r w:rsidR="00264D54">
        <w:t xml:space="preserve"> meet the following requirements:</w:t>
      </w:r>
    </w:p>
    <w:p w14:paraId="4FF87B4A" w14:textId="6A8142D3" w:rsidR="00264D54" w:rsidRDefault="00956518" w:rsidP="007546CF">
      <w:pPr>
        <w:pStyle w:val="ListParagraph"/>
        <w:numPr>
          <w:ilvl w:val="2"/>
          <w:numId w:val="6"/>
        </w:numPr>
        <w:spacing w:after="60"/>
        <w:contextualSpacing w:val="0"/>
      </w:pPr>
      <w:r>
        <w:t xml:space="preserve">Include a budgeted period of </w:t>
      </w:r>
      <w:r w:rsidRPr="006F7BE8">
        <w:t>two (2) fiscal year</w:t>
      </w:r>
      <w:r>
        <w:t>s, commencing July 1, 2021</w:t>
      </w:r>
    </w:p>
    <w:p w14:paraId="0A9EA2B9" w14:textId="6071F7BC" w:rsidR="00264D54" w:rsidRDefault="00264D54" w:rsidP="007546CF">
      <w:pPr>
        <w:pStyle w:val="ListParagraph"/>
        <w:numPr>
          <w:ilvl w:val="2"/>
          <w:numId w:val="6"/>
        </w:numPr>
        <w:spacing w:after="60"/>
        <w:contextualSpacing w:val="0"/>
      </w:pPr>
      <w:r>
        <w:t>The Personnel component of the budget (s</w:t>
      </w:r>
      <w:r w:rsidRPr="00E05260">
        <w:t>alaries, wages, and fringe benefits</w:t>
      </w:r>
      <w:r>
        <w:t>)</w:t>
      </w:r>
      <w:r w:rsidRPr="00E05260">
        <w:t xml:space="preserve"> must constitute a </w:t>
      </w:r>
      <w:r>
        <w:t>minimum of</w:t>
      </w:r>
      <w:r w:rsidRPr="00E05260">
        <w:t xml:space="preserve"> 75</w:t>
      </w:r>
      <w:r>
        <w:t xml:space="preserve"> percent</w:t>
      </w:r>
      <w:r w:rsidRPr="00E05260">
        <w:t xml:space="preserve"> of the total amount of funds requested</w:t>
      </w:r>
      <w:r>
        <w:t xml:space="preserve"> </w:t>
      </w:r>
    </w:p>
    <w:p w14:paraId="02D548B6" w14:textId="5F0D52D8" w:rsidR="00264D54" w:rsidRDefault="00264D54" w:rsidP="007546CF">
      <w:pPr>
        <w:pStyle w:val="ListParagraph"/>
        <w:numPr>
          <w:ilvl w:val="2"/>
          <w:numId w:val="6"/>
        </w:numPr>
        <w:spacing w:after="60"/>
        <w:contextualSpacing w:val="0"/>
      </w:pPr>
      <w:r>
        <w:t xml:space="preserve">Staffed or contracted clinicians must account for </w:t>
      </w:r>
      <w:r w:rsidRPr="00E05260">
        <w:t xml:space="preserve">a </w:t>
      </w:r>
      <w:r>
        <w:t>minimum of</w:t>
      </w:r>
      <w:r w:rsidRPr="00E05260">
        <w:t xml:space="preserve"> </w:t>
      </w:r>
      <w:r>
        <w:t xml:space="preserve">60 percent of the funds allocated to the Personnel component of the </w:t>
      </w:r>
      <w:r w:rsidR="0045215F">
        <w:t>budget</w:t>
      </w:r>
      <w:r w:rsidR="00842AFD">
        <w:t xml:space="preserve"> and treating clin</w:t>
      </w:r>
      <w:r w:rsidR="00BD2C50">
        <w:t>icians must see a minimum of 20 unduplicated clients annually per full time equivalent (FTE)</w:t>
      </w:r>
    </w:p>
    <w:p w14:paraId="4B5315C1" w14:textId="1D301EEF" w:rsidR="00264D54" w:rsidRDefault="00264D54" w:rsidP="007546CF">
      <w:pPr>
        <w:pStyle w:val="ListParagraph"/>
        <w:numPr>
          <w:ilvl w:val="3"/>
          <w:numId w:val="6"/>
        </w:numPr>
        <w:spacing w:after="60"/>
        <w:contextualSpacing w:val="0"/>
      </w:pPr>
      <w:r w:rsidRPr="00D75780">
        <w:t>Specify if staff</w:t>
      </w:r>
      <w:r w:rsidR="00592A67">
        <w:t xml:space="preserve"> members are salaried or hourly, and i</w:t>
      </w:r>
      <w:r w:rsidRPr="00D75780">
        <w:t>nclude the fringe benefit rate for each employee, if applicable</w:t>
      </w:r>
    </w:p>
    <w:p w14:paraId="5A1F70F8" w14:textId="6C511EF4" w:rsidR="00BD2C50" w:rsidRPr="00D75780" w:rsidRDefault="00BD2C50" w:rsidP="007546CF">
      <w:pPr>
        <w:pStyle w:val="ListParagraph"/>
        <w:numPr>
          <w:ilvl w:val="3"/>
          <w:numId w:val="6"/>
        </w:numPr>
        <w:spacing w:after="60"/>
        <w:contextualSpacing w:val="0"/>
      </w:pPr>
      <w:r>
        <w:t>Indicate FTE for part-time staff</w:t>
      </w:r>
    </w:p>
    <w:p w14:paraId="4D766A53" w14:textId="0991A4B3" w:rsidR="00264D54" w:rsidRDefault="00264D54" w:rsidP="00956518">
      <w:pPr>
        <w:pStyle w:val="ListParagraph"/>
        <w:numPr>
          <w:ilvl w:val="2"/>
          <w:numId w:val="6"/>
        </w:numPr>
        <w:spacing w:after="60"/>
        <w:contextualSpacing w:val="0"/>
      </w:pPr>
      <w:r>
        <w:t>Include any c</w:t>
      </w:r>
      <w:r w:rsidRPr="00E05260">
        <w:t>ost</w:t>
      </w:r>
      <w:r w:rsidR="0024395C">
        <w:t>-</w:t>
      </w:r>
      <w:r w:rsidRPr="00E05260">
        <w:t>of</w:t>
      </w:r>
      <w:r w:rsidR="0024395C">
        <w:t>-</w:t>
      </w:r>
      <w:r w:rsidRPr="00E05260">
        <w:t>living</w:t>
      </w:r>
      <w:r>
        <w:t xml:space="preserve"> wage</w:t>
      </w:r>
      <w:r w:rsidRPr="00E05260">
        <w:t xml:space="preserve"> increases </w:t>
      </w:r>
      <w:r>
        <w:t>as these increases</w:t>
      </w:r>
      <w:r w:rsidRPr="00E05260">
        <w:t xml:space="preserve"> may not be </w:t>
      </w:r>
      <w:r>
        <w:t xml:space="preserve">added or </w:t>
      </w:r>
      <w:r w:rsidRPr="00E05260">
        <w:t xml:space="preserve">modified </w:t>
      </w:r>
      <w:proofErr w:type="gramStart"/>
      <w:r w:rsidRPr="00E05260">
        <w:t>at a later date</w:t>
      </w:r>
      <w:proofErr w:type="gramEnd"/>
    </w:p>
    <w:p w14:paraId="38554393" w14:textId="77777777" w:rsidR="00592A67" w:rsidRPr="001755BD" w:rsidRDefault="00264D54" w:rsidP="00592A67">
      <w:pPr>
        <w:pStyle w:val="ListParagraph"/>
        <w:numPr>
          <w:ilvl w:val="2"/>
          <w:numId w:val="6"/>
        </w:numPr>
        <w:spacing w:after="60"/>
      </w:pPr>
      <w:r w:rsidRPr="001755BD">
        <w:t xml:space="preserve">If subcontractors will be utilized, a detailed budget for each subcontractor must be included in the operating expenses section of the budget worksheet </w:t>
      </w:r>
    </w:p>
    <w:p w14:paraId="52D9E17F" w14:textId="7E2A503E" w:rsidR="00264D54" w:rsidRPr="00663FB9" w:rsidRDefault="00264D54" w:rsidP="00592A67">
      <w:pPr>
        <w:pStyle w:val="ListParagraph"/>
        <w:numPr>
          <w:ilvl w:val="2"/>
          <w:numId w:val="6"/>
        </w:numPr>
        <w:spacing w:after="60"/>
      </w:pPr>
      <w:r w:rsidRPr="00663FB9">
        <w:t>Operating expenses shall not exceed 25 percent of the total amount of funds requested</w:t>
      </w:r>
    </w:p>
    <w:p w14:paraId="0BAC9BD5" w14:textId="77777777" w:rsidR="00264D54" w:rsidRDefault="00264D54" w:rsidP="007546CF">
      <w:pPr>
        <w:pStyle w:val="ListParagraph"/>
        <w:numPr>
          <w:ilvl w:val="2"/>
          <w:numId w:val="6"/>
        </w:numPr>
        <w:spacing w:after="60"/>
        <w:contextualSpacing w:val="0"/>
      </w:pPr>
      <w:r>
        <w:t>If funds are allocated to an emergency client fund, indicate what will be allocated to Housing, Transportation, Food, Clothing, and Miscellaneous Crime-Related Emergency Assistance</w:t>
      </w:r>
    </w:p>
    <w:p w14:paraId="6C5B19FC" w14:textId="75145DDA" w:rsidR="00E03CEF" w:rsidRDefault="00AF5948" w:rsidP="00E03CEF">
      <w:pPr>
        <w:pStyle w:val="ListParagraph"/>
        <w:numPr>
          <w:ilvl w:val="2"/>
          <w:numId w:val="6"/>
        </w:numPr>
        <w:spacing w:after="60"/>
        <w:contextualSpacing w:val="0"/>
      </w:pPr>
      <w:r>
        <w:t xml:space="preserve">Any ineligible expenses included on the proposed budget will be removed and the total grant funds awarded reduced by those </w:t>
      </w:r>
      <w:r w:rsidRPr="00130221">
        <w:t>amounts</w:t>
      </w:r>
    </w:p>
    <w:p w14:paraId="58B491C1" w14:textId="398632E4" w:rsidR="00264D54" w:rsidRDefault="00AF5948" w:rsidP="007546CF">
      <w:pPr>
        <w:pStyle w:val="ListParagraph"/>
        <w:numPr>
          <w:ilvl w:val="1"/>
          <w:numId w:val="6"/>
        </w:numPr>
        <w:spacing w:after="60"/>
        <w:contextualSpacing w:val="0"/>
      </w:pPr>
      <w:r>
        <w:t xml:space="preserve"> </w:t>
      </w:r>
      <w:r w:rsidR="00956518">
        <w:t>A b</w:t>
      </w:r>
      <w:r w:rsidR="00264D54" w:rsidRPr="006A3057">
        <w:t xml:space="preserve">udget </w:t>
      </w:r>
      <w:r w:rsidR="00956518">
        <w:t>n</w:t>
      </w:r>
      <w:r w:rsidR="00264D54" w:rsidRPr="006A3057">
        <w:t>arrative</w:t>
      </w:r>
      <w:r w:rsidR="00A174D1">
        <w:t>,</w:t>
      </w:r>
      <w:r w:rsidR="00264D54">
        <w:t xml:space="preserve"> </w:t>
      </w:r>
      <w:r w:rsidR="00264D54" w:rsidRPr="00BE21AD">
        <w:t>no more than five (5) pages in length</w:t>
      </w:r>
      <w:r w:rsidR="00956518">
        <w:t>, which</w:t>
      </w:r>
      <w:r w:rsidR="00264D54">
        <w:t xml:space="preserve"> describe</w:t>
      </w:r>
      <w:r w:rsidR="00956518">
        <w:t>s</w:t>
      </w:r>
      <w:r w:rsidR="00264D54">
        <w:t xml:space="preserve"> </w:t>
      </w:r>
      <w:r w:rsidR="00264D54" w:rsidRPr="006A3057">
        <w:t>each portion of the budget</w:t>
      </w:r>
      <w:r w:rsidR="00264D54">
        <w:t>. The narrative should describe the following:</w:t>
      </w:r>
    </w:p>
    <w:p w14:paraId="22487E0B" w14:textId="16741027" w:rsidR="00264D54" w:rsidRPr="00BD64C4" w:rsidRDefault="00264D54" w:rsidP="007546CF">
      <w:pPr>
        <w:pStyle w:val="ListParagraph"/>
        <w:numPr>
          <w:ilvl w:val="2"/>
          <w:numId w:val="6"/>
        </w:numPr>
      </w:pPr>
      <w:r>
        <w:t>Eac</w:t>
      </w:r>
      <w:r w:rsidRPr="006A3057">
        <w:t xml:space="preserve">h position to be funded </w:t>
      </w:r>
      <w:r>
        <w:t xml:space="preserve">including the position type, applicable licensure for each staff member and how the activities of each staff member will be TRC </w:t>
      </w:r>
      <w:r w:rsidRPr="00130221">
        <w:t>related</w:t>
      </w:r>
      <w:r w:rsidR="00130221" w:rsidRPr="00130221">
        <w:t xml:space="preserve"> </w:t>
      </w:r>
      <w:r w:rsidR="00956518" w:rsidRPr="00130221">
        <w:t>(</w:t>
      </w:r>
      <w:r w:rsidRPr="00130221">
        <w:rPr>
          <w:i/>
        </w:rPr>
        <w:t>All</w:t>
      </w:r>
      <w:r>
        <w:rPr>
          <w:i/>
        </w:rPr>
        <w:t xml:space="preserve"> staff to be funded by the grant must</w:t>
      </w:r>
      <w:r w:rsidR="007829CB">
        <w:rPr>
          <w:i/>
        </w:rPr>
        <w:t xml:space="preserve"> perform TRC-related activities</w:t>
      </w:r>
      <w:r w:rsidR="004875C4">
        <w:rPr>
          <w:i/>
        </w:rPr>
        <w:t>.</w:t>
      </w:r>
      <w:r w:rsidR="00956518">
        <w:rPr>
          <w:i/>
        </w:rPr>
        <w:t>)</w:t>
      </w:r>
      <w:r>
        <w:rPr>
          <w:i/>
        </w:rPr>
        <w:t xml:space="preserve"> </w:t>
      </w:r>
    </w:p>
    <w:p w14:paraId="5218392C" w14:textId="5EEF7D99" w:rsidR="00264D54" w:rsidRDefault="00264D54" w:rsidP="007546CF">
      <w:pPr>
        <w:pStyle w:val="ListParagraph"/>
        <w:numPr>
          <w:ilvl w:val="2"/>
          <w:numId w:val="6"/>
        </w:numPr>
      </w:pPr>
      <w:r>
        <w:t xml:space="preserve">Operating expenses </w:t>
      </w:r>
    </w:p>
    <w:p w14:paraId="7C95BBB5" w14:textId="78EDADE5" w:rsidR="0045215F" w:rsidRDefault="0045215F" w:rsidP="0045215F">
      <w:pPr>
        <w:pStyle w:val="ListParagraph"/>
        <w:numPr>
          <w:ilvl w:val="2"/>
          <w:numId w:val="6"/>
        </w:numPr>
        <w:spacing w:after="60"/>
        <w:contextualSpacing w:val="0"/>
      </w:pPr>
      <w:r>
        <w:lastRenderedPageBreak/>
        <w:t>A</w:t>
      </w:r>
      <w:r w:rsidRPr="00C2448F">
        <w:t xml:space="preserve"> detailed </w:t>
      </w:r>
      <w:r>
        <w:t xml:space="preserve">narrative </w:t>
      </w:r>
      <w:r w:rsidRPr="00C2448F">
        <w:t>for each subcontractor</w:t>
      </w:r>
      <w:r>
        <w:t xml:space="preserve"> and a copy of the contract</w:t>
      </w:r>
    </w:p>
    <w:p w14:paraId="32A07860" w14:textId="4BC7F405" w:rsidR="00264D54" w:rsidRDefault="00264D54" w:rsidP="007546CF">
      <w:pPr>
        <w:pStyle w:val="ListParagraph"/>
        <w:numPr>
          <w:ilvl w:val="2"/>
          <w:numId w:val="6"/>
        </w:numPr>
        <w:spacing w:after="60"/>
        <w:contextualSpacing w:val="0"/>
      </w:pPr>
      <w:r>
        <w:t>O</w:t>
      </w:r>
      <w:r w:rsidRPr="006A3057">
        <w:t xml:space="preserve">ther funding streams including the dollar </w:t>
      </w:r>
      <w:r w:rsidRPr="00BE21AD">
        <w:t xml:space="preserve">amount and duration </w:t>
      </w:r>
      <w:r w:rsidR="0024395C">
        <w:t xml:space="preserve">of </w:t>
      </w:r>
      <w:r w:rsidRPr="00BE21AD">
        <w:t>those funds</w:t>
      </w:r>
    </w:p>
    <w:p w14:paraId="5136D683" w14:textId="20D00ED7" w:rsidR="00264D54" w:rsidRDefault="00264D54" w:rsidP="007546CF">
      <w:pPr>
        <w:pStyle w:val="ListParagraph"/>
        <w:numPr>
          <w:ilvl w:val="1"/>
          <w:numId w:val="6"/>
        </w:numPr>
        <w:spacing w:after="60"/>
        <w:contextualSpacing w:val="0"/>
      </w:pPr>
      <w:r>
        <w:t xml:space="preserve">No more than seven (7) letters of support from </w:t>
      </w:r>
      <w:r w:rsidR="00DE70CA">
        <w:t xml:space="preserve">sources </w:t>
      </w:r>
      <w:r w:rsidR="00B37412">
        <w:t xml:space="preserve">serving the same community that may refer clients to, or work in conjunction with the TRC. This may </w:t>
      </w:r>
      <w:proofErr w:type="gramStart"/>
      <w:r w:rsidR="00B37412">
        <w:t>include:</w:t>
      </w:r>
      <w:proofErr w:type="gramEnd"/>
      <w:r w:rsidR="00B37412">
        <w:t xml:space="preserve"> </w:t>
      </w:r>
      <w:r w:rsidRPr="00123AC6">
        <w:t xml:space="preserve">medical and mental health care providers, law enforcement agencies, county crime victim assistance centers as designated by California Penal Code section 13835.2, sexual assault crisis centers, domestic violence programs, other crime victim service providers, and other social service agencies within the applicant’s designated </w:t>
      </w:r>
      <w:r w:rsidRPr="00130221">
        <w:t>service area</w:t>
      </w:r>
      <w:r w:rsidR="004640EA" w:rsidRPr="00130221">
        <w:t>.</w:t>
      </w:r>
    </w:p>
    <w:p w14:paraId="5F54C8E9" w14:textId="340851FB" w:rsidR="00264D54" w:rsidRDefault="00264D54" w:rsidP="007546CF">
      <w:pPr>
        <w:pStyle w:val="ListParagraph"/>
        <w:numPr>
          <w:ilvl w:val="2"/>
          <w:numId w:val="6"/>
        </w:numPr>
        <w:spacing w:after="60"/>
        <w:contextualSpacing w:val="0"/>
      </w:pPr>
      <w:r>
        <w:t>Letters</w:t>
      </w:r>
      <w:r w:rsidRPr="00123AC6">
        <w:t xml:space="preserve"> </w:t>
      </w:r>
      <w:r>
        <w:t>of support s</w:t>
      </w:r>
      <w:r w:rsidRPr="00123AC6">
        <w:t>hould perta</w:t>
      </w:r>
      <w:r>
        <w:t>in specifically to this project</w:t>
      </w:r>
    </w:p>
    <w:p w14:paraId="2056DDA8" w14:textId="3C90FA2D" w:rsidR="003A38CB" w:rsidRPr="006F7BE8" w:rsidRDefault="00A665E8" w:rsidP="006F7BE8">
      <w:pPr>
        <w:pStyle w:val="Heading2"/>
      </w:pPr>
      <w:bookmarkStart w:id="10" w:name="_Toc26533591"/>
      <w:r>
        <w:t>8</w:t>
      </w:r>
      <w:r w:rsidR="003A38CB" w:rsidRPr="006F7BE8">
        <w:t>. Available Funds</w:t>
      </w:r>
      <w:bookmarkEnd w:id="10"/>
      <w:r w:rsidR="003A38CB" w:rsidRPr="006F7BE8">
        <w:t xml:space="preserve"> </w:t>
      </w:r>
    </w:p>
    <w:p w14:paraId="3F822862" w14:textId="16D2DCD7" w:rsidR="002356FB" w:rsidRDefault="002356FB" w:rsidP="003C053A">
      <w:r>
        <w:t>Upon appropriat</w:t>
      </w:r>
      <w:r w:rsidR="003A1B58">
        <w:t xml:space="preserve">ion by the Legislature, CalVCB may </w:t>
      </w:r>
      <w:r>
        <w:t>award grants totaling up to two million dollars ($2,000,000) per year</w:t>
      </w:r>
      <w:r w:rsidR="003A1B58">
        <w:t xml:space="preserve"> from the Restitution Fund</w:t>
      </w:r>
      <w:r>
        <w:t xml:space="preserve">. </w:t>
      </w:r>
      <w:r w:rsidR="003A1B58" w:rsidRPr="003A1B58">
        <w:t>Additionally, funds may be available through the Safe Neighborhoods and Schools Act.</w:t>
      </w:r>
      <w:r w:rsidR="003A1B58">
        <w:t xml:space="preserve"> </w:t>
      </w:r>
      <w:r>
        <w:t>The number of grants awarded will be determined by a variety of factors</w:t>
      </w:r>
      <w:r w:rsidR="00B94870">
        <w:t>,</w:t>
      </w:r>
      <w:r>
        <w:t xml:space="preserve"> including the number of qualified applicants</w:t>
      </w:r>
      <w:r w:rsidR="00B94870">
        <w:t>, the amount of funds requested, and t</w:t>
      </w:r>
      <w:r w:rsidR="007829CB">
        <w:t>he amount of funds available. P</w:t>
      </w:r>
      <w:r w:rsidR="00F27E3A">
        <w:t>rogram expenses are reimbursed after they have been incurred</w:t>
      </w:r>
      <w:r w:rsidR="005A66B0">
        <w:t xml:space="preserve"> and invoiced,</w:t>
      </w:r>
      <w:r w:rsidR="00F27E3A">
        <w:t xml:space="preserve"> on a </w:t>
      </w:r>
      <w:r w:rsidR="005A66B0">
        <w:t xml:space="preserve">monthly or </w:t>
      </w:r>
      <w:r w:rsidR="00F27E3A">
        <w:t>quarterly</w:t>
      </w:r>
      <w:r w:rsidR="003C7AD2">
        <w:t xml:space="preserve"> </w:t>
      </w:r>
      <w:r w:rsidR="00F27E3A">
        <w:t>basis</w:t>
      </w:r>
      <w:r w:rsidR="005A66B0">
        <w:t xml:space="preserve"> as specified in the </w:t>
      </w:r>
      <w:r w:rsidR="0009071A">
        <w:t>executed contract</w:t>
      </w:r>
      <w:r w:rsidR="003E7DF3">
        <w:t xml:space="preserve">. </w:t>
      </w:r>
    </w:p>
    <w:p w14:paraId="7F5413D6" w14:textId="20DA75CE" w:rsidR="003A38CB" w:rsidRPr="001A0B97" w:rsidRDefault="00937472" w:rsidP="001A0B97">
      <w:pPr>
        <w:pStyle w:val="Heading2"/>
      </w:pPr>
      <w:bookmarkStart w:id="11" w:name="_Toc26533592"/>
      <w:r>
        <w:t>9</w:t>
      </w:r>
      <w:r w:rsidR="003A38CB" w:rsidRPr="001A0B97">
        <w:t>. Eligible Costs</w:t>
      </w:r>
      <w:bookmarkEnd w:id="11"/>
      <w:r w:rsidR="003A38CB" w:rsidRPr="001A0B97">
        <w:t xml:space="preserve"> </w:t>
      </w:r>
    </w:p>
    <w:p w14:paraId="5789E995" w14:textId="5C4B2032" w:rsidR="008944DF" w:rsidRDefault="008944DF" w:rsidP="003C053A">
      <w:pPr>
        <w:spacing w:after="60"/>
        <w:rPr>
          <w:bCs/>
        </w:rPr>
      </w:pPr>
      <w:r>
        <w:rPr>
          <w:bCs/>
        </w:rPr>
        <w:t xml:space="preserve">The </w:t>
      </w:r>
      <w:r w:rsidRPr="00C13A21">
        <w:rPr>
          <w:bCs/>
        </w:rPr>
        <w:t>cost of services provided with grant funds must not be charged to</w:t>
      </w:r>
      <w:r w:rsidR="0024395C">
        <w:rPr>
          <w:bCs/>
        </w:rPr>
        <w:t>,</w:t>
      </w:r>
      <w:r w:rsidRPr="00C13A21">
        <w:rPr>
          <w:bCs/>
        </w:rPr>
        <w:t xml:space="preserve"> or paid for by</w:t>
      </w:r>
      <w:r w:rsidR="0024395C">
        <w:rPr>
          <w:bCs/>
        </w:rPr>
        <w:t>,</w:t>
      </w:r>
      <w:r w:rsidRPr="00C13A21">
        <w:rPr>
          <w:bCs/>
        </w:rPr>
        <w:t xml:space="preserve"> any other </w:t>
      </w:r>
      <w:r w:rsidR="00CC1C3F">
        <w:rPr>
          <w:bCs/>
        </w:rPr>
        <w:t xml:space="preserve">reimbursement </w:t>
      </w:r>
      <w:r w:rsidRPr="00C13A21">
        <w:rPr>
          <w:bCs/>
        </w:rPr>
        <w:t>sources</w:t>
      </w:r>
      <w:r w:rsidR="00CC1C3F">
        <w:rPr>
          <w:bCs/>
        </w:rPr>
        <w:t xml:space="preserve">, </w:t>
      </w:r>
      <w:r w:rsidRPr="00C13A21">
        <w:rPr>
          <w:bCs/>
        </w:rPr>
        <w:t>including private insurance, federal, state,</w:t>
      </w:r>
      <w:r w:rsidR="0009071A">
        <w:rPr>
          <w:bCs/>
        </w:rPr>
        <w:t xml:space="preserve"> or</w:t>
      </w:r>
      <w:r w:rsidRPr="00C13A21">
        <w:rPr>
          <w:bCs/>
        </w:rPr>
        <w:t xml:space="preserve"> local</w:t>
      </w:r>
      <w:r w:rsidR="00AD7F21">
        <w:rPr>
          <w:bCs/>
        </w:rPr>
        <w:t xml:space="preserve"> grants,</w:t>
      </w:r>
      <w:r w:rsidR="007829CB">
        <w:rPr>
          <w:bCs/>
        </w:rPr>
        <w:t xml:space="preserve"> or victim compensation funds</w:t>
      </w:r>
      <w:r w:rsidR="00151A89">
        <w:rPr>
          <w:bCs/>
        </w:rPr>
        <w:t>.</w:t>
      </w:r>
      <w:r w:rsidR="005B42D0">
        <w:rPr>
          <w:bCs/>
        </w:rPr>
        <w:t xml:space="preserve"> All expenses that require prior written authorization will be sent to </w:t>
      </w:r>
      <w:hyperlink r:id="rId14" w:history="1">
        <w:r w:rsidR="005B42D0" w:rsidRPr="00051C19">
          <w:rPr>
            <w:rStyle w:val="Hyperlink"/>
            <w:bCs/>
          </w:rPr>
          <w:t>Grants@victims.ca.gov</w:t>
        </w:r>
      </w:hyperlink>
      <w:r w:rsidR="005B42D0">
        <w:rPr>
          <w:bCs/>
        </w:rPr>
        <w:t xml:space="preserve"> for </w:t>
      </w:r>
      <w:r w:rsidR="00A1778D">
        <w:rPr>
          <w:bCs/>
        </w:rPr>
        <w:t>review</w:t>
      </w:r>
      <w:r w:rsidR="0024395C">
        <w:rPr>
          <w:bCs/>
        </w:rPr>
        <w:t>,</w:t>
      </w:r>
      <w:r w:rsidR="00A1778D">
        <w:rPr>
          <w:bCs/>
        </w:rPr>
        <w:t xml:space="preserve"> and a response with </w:t>
      </w:r>
      <w:r w:rsidR="005B42D0">
        <w:rPr>
          <w:bCs/>
        </w:rPr>
        <w:t>approval</w:t>
      </w:r>
      <w:r w:rsidR="00411A01">
        <w:rPr>
          <w:bCs/>
        </w:rPr>
        <w:t xml:space="preserve"> or</w:t>
      </w:r>
      <w:r w:rsidR="005B42D0">
        <w:rPr>
          <w:bCs/>
        </w:rPr>
        <w:t xml:space="preserve"> denial of expenses</w:t>
      </w:r>
      <w:r w:rsidR="00A1778D">
        <w:rPr>
          <w:bCs/>
        </w:rPr>
        <w:t xml:space="preserve"> will be returned within one week</w:t>
      </w:r>
      <w:r w:rsidR="005B42D0">
        <w:rPr>
          <w:bCs/>
        </w:rPr>
        <w:t xml:space="preserve">. </w:t>
      </w:r>
    </w:p>
    <w:p w14:paraId="60D2E83F" w14:textId="5AB6D7DD" w:rsidR="003A38CB" w:rsidRPr="006F7BE8" w:rsidRDefault="003A38CB" w:rsidP="003C053A">
      <w:pPr>
        <w:spacing w:after="60"/>
      </w:pPr>
      <w:r w:rsidRPr="000C5B94">
        <w:t>Direct Costs</w:t>
      </w:r>
      <w:r w:rsidR="008C34A0" w:rsidRPr="000C5B94">
        <w:t xml:space="preserve"> are costs that can be clearly attributed to specific service</w:t>
      </w:r>
      <w:r w:rsidR="00B77836">
        <w:t>s</w:t>
      </w:r>
      <w:r w:rsidR="00896252">
        <w:t>.</w:t>
      </w:r>
      <w:r w:rsidR="008C34A0" w:rsidRPr="000C5B94">
        <w:t xml:space="preserve"> </w:t>
      </w:r>
      <w:r w:rsidR="00896252">
        <w:t>E</w:t>
      </w:r>
      <w:r w:rsidR="000C5B94" w:rsidRPr="00DA50E3">
        <w:t>xamples of d</w:t>
      </w:r>
      <w:r w:rsidR="008C34A0" w:rsidRPr="00DA50E3">
        <w:t>irect costs include</w:t>
      </w:r>
      <w:r w:rsidRPr="00DA50E3">
        <w:t xml:space="preserve">: </w:t>
      </w:r>
    </w:p>
    <w:p w14:paraId="1624A10A" w14:textId="160D9F58" w:rsidR="002B3E63" w:rsidRPr="006F7BE8" w:rsidRDefault="003A38CB" w:rsidP="00B22669">
      <w:pPr>
        <w:pStyle w:val="ListParagraph"/>
        <w:numPr>
          <w:ilvl w:val="0"/>
          <w:numId w:val="2"/>
        </w:numPr>
        <w:spacing w:after="60"/>
        <w:contextualSpacing w:val="0"/>
      </w:pPr>
      <w:r w:rsidRPr="006F7BE8">
        <w:t xml:space="preserve">Salary and benefits for personnel providing direct treatment: </w:t>
      </w:r>
    </w:p>
    <w:p w14:paraId="1642C28B" w14:textId="77777777" w:rsidR="003A38CB" w:rsidRPr="006F7BE8" w:rsidRDefault="002B3E63" w:rsidP="00B22669">
      <w:pPr>
        <w:pStyle w:val="ListParagraph"/>
        <w:numPr>
          <w:ilvl w:val="1"/>
          <w:numId w:val="2"/>
        </w:numPr>
        <w:spacing w:after="60"/>
        <w:contextualSpacing w:val="0"/>
      </w:pPr>
      <w:r w:rsidRPr="006F7BE8">
        <w:t>Activities such as mental health treatment, clinical supervision, social work, victim advocacy</w:t>
      </w:r>
      <w:r w:rsidR="00887D99">
        <w:t>, peer support</w:t>
      </w:r>
      <w:r w:rsidR="006F24AA">
        <w:t>,</w:t>
      </w:r>
      <w:r w:rsidRPr="006F7BE8">
        <w:t xml:space="preserve"> and case management</w:t>
      </w:r>
    </w:p>
    <w:p w14:paraId="1A2E1408" w14:textId="4DAFD601" w:rsidR="002B3E63" w:rsidRPr="006F7BE8" w:rsidRDefault="002B3E63" w:rsidP="00B22669">
      <w:pPr>
        <w:pStyle w:val="ListParagraph"/>
        <w:numPr>
          <w:ilvl w:val="1"/>
          <w:numId w:val="2"/>
        </w:numPr>
        <w:spacing w:after="60"/>
        <w:contextualSpacing w:val="0"/>
      </w:pPr>
      <w:r w:rsidRPr="006F7BE8">
        <w:t xml:space="preserve">Administrative salaries related to the support of direct treatment </w:t>
      </w:r>
    </w:p>
    <w:p w14:paraId="74C33FF5" w14:textId="680783C0" w:rsidR="00DA50E3" w:rsidRPr="0096786B" w:rsidRDefault="00DA50E3" w:rsidP="00B22669">
      <w:pPr>
        <w:pStyle w:val="ListParagraph"/>
        <w:numPr>
          <w:ilvl w:val="0"/>
          <w:numId w:val="2"/>
        </w:numPr>
        <w:spacing w:after="60"/>
        <w:contextualSpacing w:val="0"/>
      </w:pPr>
      <w:r w:rsidRPr="0096786B">
        <w:t xml:space="preserve">Operating expenses related to direct services such as rent, </w:t>
      </w:r>
      <w:r w:rsidR="00BD64C4">
        <w:t xml:space="preserve">insurance, </w:t>
      </w:r>
      <w:r w:rsidRPr="0096786B">
        <w:t>utilities, postage, telephone</w:t>
      </w:r>
      <w:r w:rsidR="00DD3320">
        <w:t xml:space="preserve"> service</w:t>
      </w:r>
      <w:r w:rsidRPr="0096786B">
        <w:t xml:space="preserve">, </w:t>
      </w:r>
      <w:r w:rsidR="00996D56">
        <w:t xml:space="preserve">internet, subcontractors, printed outreach materials, </w:t>
      </w:r>
      <w:r w:rsidR="00E03CEF">
        <w:t xml:space="preserve">and </w:t>
      </w:r>
      <w:r w:rsidR="0078008F">
        <w:t>IT equipment with prior CalVCB approval</w:t>
      </w:r>
    </w:p>
    <w:p w14:paraId="70D9C4B8" w14:textId="77777777" w:rsidR="00827972" w:rsidRPr="0096786B" w:rsidRDefault="00827972" w:rsidP="00827972">
      <w:pPr>
        <w:pStyle w:val="ListParagraph"/>
        <w:numPr>
          <w:ilvl w:val="1"/>
          <w:numId w:val="2"/>
        </w:numPr>
        <w:spacing w:after="60"/>
        <w:contextualSpacing w:val="0"/>
      </w:pPr>
      <w:r>
        <w:t>Operating expenses shall not exceed 25 percent of the total amount of funds requested</w:t>
      </w:r>
    </w:p>
    <w:p w14:paraId="6EE4198F" w14:textId="03564B33" w:rsidR="001554CA" w:rsidRPr="00205E30" w:rsidRDefault="001554CA" w:rsidP="00E03CEF">
      <w:pPr>
        <w:pStyle w:val="ListParagraph"/>
        <w:numPr>
          <w:ilvl w:val="1"/>
          <w:numId w:val="2"/>
        </w:numPr>
        <w:spacing w:after="60"/>
        <w:contextualSpacing w:val="0"/>
      </w:pPr>
      <w:bookmarkStart w:id="12" w:name="_Hlk54683175"/>
      <w:r>
        <w:t xml:space="preserve">Office space charged to the grant cannot exceed 125 square feet per full-time employee </w:t>
      </w:r>
      <w:r w:rsidRPr="00E96FCD">
        <w:rPr>
          <w:i/>
        </w:rPr>
        <w:t>(The term “employee” includes documented volunteers. Office space for part-</w:t>
      </w:r>
      <w:r>
        <w:rPr>
          <w:i/>
        </w:rPr>
        <w:t>time employees must be prorated)</w:t>
      </w:r>
      <w:r w:rsidRPr="00E96FCD">
        <w:rPr>
          <w:i/>
        </w:rPr>
        <w:t xml:space="preserve"> </w:t>
      </w:r>
      <w:r w:rsidR="00E03CEF">
        <w:rPr>
          <w:i/>
        </w:rPr>
        <w:t>The reimbursement rate cap will also apply to facility-based operating expenses such as telephone service, utilities, and maintenance</w:t>
      </w:r>
      <w:r w:rsidR="009525AA">
        <w:rPr>
          <w:i/>
        </w:rPr>
        <w:t>)</w:t>
      </w:r>
    </w:p>
    <w:bookmarkEnd w:id="12"/>
    <w:p w14:paraId="38AF4F1E" w14:textId="7D9C665B" w:rsidR="001554CA" w:rsidRPr="00205E30" w:rsidRDefault="00625BC9" w:rsidP="001953FA">
      <w:pPr>
        <w:pStyle w:val="ListParagraph"/>
        <w:numPr>
          <w:ilvl w:val="2"/>
          <w:numId w:val="2"/>
        </w:numPr>
        <w:spacing w:after="60"/>
        <w:contextualSpacing w:val="0"/>
      </w:pPr>
      <w:r>
        <w:lastRenderedPageBreak/>
        <w:t xml:space="preserve">Facility rental costs per square foot </w:t>
      </w:r>
      <w:r w:rsidRPr="00B71047">
        <w:t>must be</w:t>
      </w:r>
      <w:r>
        <w:t xml:space="preserve"> based on actual rent paid, not to exceed </w:t>
      </w:r>
      <w:r w:rsidR="00E96FCD">
        <w:t xml:space="preserve">$1.75 per square foot per month or </w:t>
      </w:r>
      <w:r>
        <w:t xml:space="preserve">$21 per square </w:t>
      </w:r>
      <w:r w:rsidRPr="00130221">
        <w:t>foot annually</w:t>
      </w:r>
      <w:r>
        <w:t xml:space="preserve"> </w:t>
      </w:r>
      <w:bookmarkStart w:id="13" w:name="_Hlk54683279"/>
    </w:p>
    <w:bookmarkEnd w:id="13"/>
    <w:p w14:paraId="4F15AC23" w14:textId="7186496E" w:rsidR="00205E30" w:rsidRDefault="00BD64C4" w:rsidP="00B22669">
      <w:pPr>
        <w:pStyle w:val="ListParagraph"/>
        <w:numPr>
          <w:ilvl w:val="1"/>
          <w:numId w:val="2"/>
        </w:numPr>
        <w:spacing w:after="60"/>
        <w:contextualSpacing w:val="0"/>
      </w:pPr>
      <w:r>
        <w:t xml:space="preserve">Insurance </w:t>
      </w:r>
      <w:r w:rsidR="004148C6">
        <w:t>(</w:t>
      </w:r>
      <w:r>
        <w:t xml:space="preserve">e.g., vehicle, fire, bonding, theft, </w:t>
      </w:r>
      <w:r w:rsidR="001A051C">
        <w:t xml:space="preserve">general liability, </w:t>
      </w:r>
      <w:r>
        <w:t>malpractice</w:t>
      </w:r>
      <w:r w:rsidR="001A051C">
        <w:t>,</w:t>
      </w:r>
      <w:r>
        <w:t xml:space="preserve"> and board liability</w:t>
      </w:r>
      <w:r w:rsidR="004148C6">
        <w:t>)</w:t>
      </w:r>
      <w:r>
        <w:t xml:space="preserve"> </w:t>
      </w:r>
    </w:p>
    <w:p w14:paraId="21DF25A3" w14:textId="740FA81E" w:rsidR="00BD64C4" w:rsidRPr="00205E30" w:rsidRDefault="00BD64C4" w:rsidP="00205E30">
      <w:pPr>
        <w:pStyle w:val="ListParagraph"/>
        <w:numPr>
          <w:ilvl w:val="2"/>
          <w:numId w:val="2"/>
        </w:numPr>
        <w:spacing w:after="60"/>
        <w:contextualSpacing w:val="0"/>
      </w:pPr>
      <w:r w:rsidRPr="00205E30">
        <w:t xml:space="preserve">Payments toward insurance policies must be prorated </w:t>
      </w:r>
      <w:r w:rsidR="00A3607D" w:rsidRPr="00205E30">
        <w:t>based on</w:t>
      </w:r>
      <w:r w:rsidR="00A3607D">
        <w:t xml:space="preserve"> the</w:t>
      </w:r>
      <w:r w:rsidRPr="00205E30">
        <w:t xml:space="preserve"> percentage of coverage required for TRC related staff and activities during the grant agreement </w:t>
      </w:r>
      <w:r w:rsidRPr="00130221">
        <w:t>period</w:t>
      </w:r>
    </w:p>
    <w:p w14:paraId="4FBBFC1A" w14:textId="70ECCAE1" w:rsidR="00773750" w:rsidRPr="00773750" w:rsidRDefault="001953FA" w:rsidP="00B22669">
      <w:pPr>
        <w:pStyle w:val="ListParagraph"/>
        <w:numPr>
          <w:ilvl w:val="0"/>
          <w:numId w:val="2"/>
        </w:numPr>
        <w:spacing w:after="60"/>
        <w:contextualSpacing w:val="0"/>
        <w:rPr>
          <w:i/>
        </w:rPr>
      </w:pPr>
      <w:r>
        <w:t xml:space="preserve">Emergency funds </w:t>
      </w:r>
      <w:r w:rsidR="00887D99">
        <w:t>to meet</w:t>
      </w:r>
      <w:r w:rsidR="00887D99" w:rsidRPr="00EF4656">
        <w:t xml:space="preserve"> the immediate needs of TRC clients </w:t>
      </w:r>
      <w:r w:rsidR="003B4210">
        <w:t>with nominal</w:t>
      </w:r>
      <w:r w:rsidR="003B4210" w:rsidRPr="00EF4656">
        <w:t xml:space="preserve"> </w:t>
      </w:r>
      <w:r w:rsidR="003B4210">
        <w:t xml:space="preserve">crime-related </w:t>
      </w:r>
      <w:r w:rsidR="003B4210" w:rsidRPr="00EF4656">
        <w:t xml:space="preserve">costs </w:t>
      </w:r>
      <w:r w:rsidR="00887D99" w:rsidRPr="00EF4656">
        <w:t>such as transportation, childcare, food, emergency shelter, or clothing</w:t>
      </w:r>
    </w:p>
    <w:p w14:paraId="3BE48D42" w14:textId="5D419F96" w:rsidR="00A9390F" w:rsidRPr="00B71047" w:rsidRDefault="00887D99" w:rsidP="00B71047">
      <w:pPr>
        <w:pStyle w:val="ListParagraph"/>
        <w:numPr>
          <w:ilvl w:val="1"/>
          <w:numId w:val="2"/>
        </w:numPr>
        <w:spacing w:after="60"/>
        <w:contextualSpacing w:val="0"/>
        <w:rPr>
          <w:i/>
        </w:rPr>
      </w:pPr>
      <w:r w:rsidRPr="008367BA">
        <w:rPr>
          <w:i/>
        </w:rPr>
        <w:t xml:space="preserve">If an organization elects to budget for an emergency fund, it must be limited to </w:t>
      </w:r>
      <w:r w:rsidR="006D6EC8">
        <w:rPr>
          <w:i/>
        </w:rPr>
        <w:t>one percent</w:t>
      </w:r>
      <w:r w:rsidRPr="008367BA">
        <w:rPr>
          <w:i/>
        </w:rPr>
        <w:t xml:space="preserve"> </w:t>
      </w:r>
      <w:r w:rsidR="006D6EC8">
        <w:rPr>
          <w:i/>
        </w:rPr>
        <w:t xml:space="preserve">(1%) </w:t>
      </w:r>
      <w:r w:rsidRPr="008367BA">
        <w:rPr>
          <w:i/>
        </w:rPr>
        <w:t>of the total grant award. Once an emergency fund is exhausted, additional funds cannot be reallocated to that budget line item. Individual emergency fund expenditures should not exceed $</w:t>
      </w:r>
      <w:r w:rsidR="00EC2913">
        <w:rPr>
          <w:i/>
        </w:rPr>
        <w:t>1</w:t>
      </w:r>
      <w:r w:rsidR="00773750">
        <w:rPr>
          <w:i/>
        </w:rPr>
        <w:t>,</w:t>
      </w:r>
      <w:r w:rsidR="00EC2913">
        <w:rPr>
          <w:i/>
        </w:rPr>
        <w:t>000</w:t>
      </w:r>
      <w:r w:rsidRPr="008367BA">
        <w:rPr>
          <w:i/>
        </w:rPr>
        <w:t xml:space="preserve"> per client</w:t>
      </w:r>
      <w:r w:rsidR="00B931D6">
        <w:rPr>
          <w:i/>
        </w:rPr>
        <w:t xml:space="preserve"> </w:t>
      </w:r>
      <w:r w:rsidRPr="008367BA">
        <w:rPr>
          <w:i/>
        </w:rPr>
        <w:t>and expenditures exceeding $</w:t>
      </w:r>
      <w:r w:rsidR="00EC2913">
        <w:rPr>
          <w:i/>
        </w:rPr>
        <w:t>500</w:t>
      </w:r>
      <w:r w:rsidR="004F6CBE">
        <w:rPr>
          <w:i/>
        </w:rPr>
        <w:t xml:space="preserve"> per client</w:t>
      </w:r>
      <w:r w:rsidRPr="008367BA">
        <w:rPr>
          <w:i/>
        </w:rPr>
        <w:t xml:space="preserve"> require </w:t>
      </w:r>
      <w:r w:rsidR="00917DB5">
        <w:rPr>
          <w:i/>
        </w:rPr>
        <w:t xml:space="preserve">prior </w:t>
      </w:r>
      <w:r w:rsidR="00442454">
        <w:rPr>
          <w:i/>
        </w:rPr>
        <w:t xml:space="preserve">written authorization </w:t>
      </w:r>
      <w:r w:rsidR="00442454" w:rsidRPr="00130221">
        <w:rPr>
          <w:i/>
        </w:rPr>
        <w:t>from CalVCB</w:t>
      </w:r>
      <w:r w:rsidR="004640EA" w:rsidRPr="00130221">
        <w:rPr>
          <w:i/>
        </w:rPr>
        <w:t>.</w:t>
      </w:r>
    </w:p>
    <w:p w14:paraId="6E523E12" w14:textId="187BAE5A" w:rsidR="00EC2913" w:rsidRPr="006F7BE8" w:rsidRDefault="00FE7018" w:rsidP="005A66B0">
      <w:pPr>
        <w:pStyle w:val="ListParagraph"/>
        <w:numPr>
          <w:ilvl w:val="0"/>
          <w:numId w:val="2"/>
        </w:numPr>
        <w:spacing w:after="60"/>
        <w:contextualSpacing w:val="0"/>
      </w:pPr>
      <w:r>
        <w:t>Costs associated with c</w:t>
      </w:r>
      <w:r w:rsidR="009E0E25" w:rsidRPr="009E0E25">
        <w:t>ommunity</w:t>
      </w:r>
      <w:r w:rsidR="000A7B18">
        <w:t xml:space="preserve"> </w:t>
      </w:r>
      <w:r w:rsidR="009E0E25">
        <w:t>o</w:t>
      </w:r>
      <w:r w:rsidR="009E0E25" w:rsidRPr="006F7BE8">
        <w:t xml:space="preserve">utreach </w:t>
      </w:r>
      <w:r w:rsidR="000A7B18">
        <w:t xml:space="preserve">events and </w:t>
      </w:r>
      <w:r w:rsidR="003A38CB" w:rsidRPr="006F7BE8">
        <w:t xml:space="preserve">activities </w:t>
      </w:r>
    </w:p>
    <w:p w14:paraId="4E0ED090" w14:textId="0E769AC4" w:rsidR="00D63551" w:rsidRPr="00D63551" w:rsidRDefault="00D63551" w:rsidP="00B22669">
      <w:pPr>
        <w:pStyle w:val="ListParagraph"/>
        <w:numPr>
          <w:ilvl w:val="0"/>
          <w:numId w:val="2"/>
        </w:numPr>
        <w:spacing w:after="60"/>
        <w:contextualSpacing w:val="0"/>
        <w:rPr>
          <w:iCs/>
        </w:rPr>
      </w:pPr>
      <w:r w:rsidRPr="00D63551">
        <w:rPr>
          <w:iCs/>
        </w:rPr>
        <w:t>For in-state travel</w:t>
      </w:r>
      <w:r>
        <w:rPr>
          <w:iCs/>
        </w:rPr>
        <w:t>, as well as</w:t>
      </w:r>
      <w:r w:rsidRPr="00D63551">
        <w:rPr>
          <w:iCs/>
        </w:rPr>
        <w:t xml:space="preserve"> training</w:t>
      </w:r>
      <w:r>
        <w:rPr>
          <w:iCs/>
        </w:rPr>
        <w:t xml:space="preserve"> </w:t>
      </w:r>
      <w:r w:rsidRPr="00D63551">
        <w:rPr>
          <w:iCs/>
        </w:rPr>
        <w:t>and conferences</w:t>
      </w:r>
      <w:r>
        <w:rPr>
          <w:iCs/>
        </w:rPr>
        <w:t xml:space="preserve"> for the provision of trauma-informed, evidence-based</w:t>
      </w:r>
      <w:r w:rsidRPr="00D63551">
        <w:rPr>
          <w:iCs/>
        </w:rPr>
        <w:t>,</w:t>
      </w:r>
      <w:r>
        <w:rPr>
          <w:iCs/>
        </w:rPr>
        <w:t xml:space="preserve"> and evidence-informed practices as outlined in the grant application</w:t>
      </w:r>
      <w:r w:rsidR="00917DB5">
        <w:rPr>
          <w:iCs/>
        </w:rPr>
        <w:t>,</w:t>
      </w:r>
      <w:r w:rsidRPr="00D63551">
        <w:rPr>
          <w:iCs/>
        </w:rPr>
        <w:t xml:space="preserve"> a written explanation </w:t>
      </w:r>
      <w:r>
        <w:rPr>
          <w:iCs/>
        </w:rPr>
        <w:t xml:space="preserve">providing details of the event and relevance to TRC activities </w:t>
      </w:r>
      <w:r w:rsidRPr="00D63551">
        <w:rPr>
          <w:iCs/>
        </w:rPr>
        <w:t>must be submitted</w:t>
      </w:r>
      <w:r w:rsidR="00360AE1">
        <w:rPr>
          <w:iCs/>
        </w:rPr>
        <w:t xml:space="preserve"> at least two weeks</w:t>
      </w:r>
      <w:r w:rsidRPr="00D63551">
        <w:rPr>
          <w:iCs/>
        </w:rPr>
        <w:t xml:space="preserve"> in advance </w:t>
      </w:r>
      <w:r w:rsidR="00756584">
        <w:rPr>
          <w:iCs/>
        </w:rPr>
        <w:t xml:space="preserve">via email </w:t>
      </w:r>
      <w:r>
        <w:rPr>
          <w:iCs/>
        </w:rPr>
        <w:t xml:space="preserve">to </w:t>
      </w:r>
      <w:r w:rsidR="00A1778D">
        <w:rPr>
          <w:iCs/>
        </w:rPr>
        <w:t>G</w:t>
      </w:r>
      <w:r w:rsidR="00360AE1">
        <w:rPr>
          <w:iCs/>
        </w:rPr>
        <w:t>rants@victims.ca.gov</w:t>
      </w:r>
      <w:r>
        <w:rPr>
          <w:iCs/>
        </w:rPr>
        <w:t xml:space="preserve"> </w:t>
      </w:r>
      <w:r w:rsidR="00ED4787">
        <w:rPr>
          <w:iCs/>
        </w:rPr>
        <w:t>for review</w:t>
      </w:r>
      <w:r>
        <w:rPr>
          <w:iCs/>
        </w:rPr>
        <w:t xml:space="preserve"> by the TRC Grant </w:t>
      </w:r>
      <w:r w:rsidRPr="004640EA">
        <w:rPr>
          <w:iCs/>
        </w:rPr>
        <w:t>Manager</w:t>
      </w:r>
      <w:r w:rsidR="00ED4787" w:rsidRPr="004640EA">
        <w:rPr>
          <w:rStyle w:val="CommentReference"/>
        </w:rPr>
        <w:t>.</w:t>
      </w:r>
      <w:r w:rsidR="00ED4787">
        <w:rPr>
          <w:iCs/>
        </w:rPr>
        <w:t xml:space="preserve"> A</w:t>
      </w:r>
      <w:r>
        <w:rPr>
          <w:iCs/>
        </w:rPr>
        <w:t>pproval/denial of the expenses</w:t>
      </w:r>
      <w:r w:rsidR="00ED4787">
        <w:rPr>
          <w:iCs/>
        </w:rPr>
        <w:t xml:space="preserve"> will be received within one </w:t>
      </w:r>
      <w:r w:rsidR="00ED4787" w:rsidRPr="00850CF4">
        <w:rPr>
          <w:iCs/>
        </w:rPr>
        <w:t>week</w:t>
      </w:r>
      <w:r w:rsidRPr="00850CF4">
        <w:rPr>
          <w:iCs/>
        </w:rPr>
        <w:t>.</w:t>
      </w:r>
      <w:r w:rsidRPr="00D63551">
        <w:t xml:space="preserve"> </w:t>
      </w:r>
      <w:r>
        <w:t>(</w:t>
      </w:r>
      <w:r w:rsidRPr="008367BA">
        <w:rPr>
          <w:i/>
        </w:rPr>
        <w:t>Travel will be paid according to the state policy in effect a</w:t>
      </w:r>
      <w:r>
        <w:rPr>
          <w:i/>
        </w:rPr>
        <w:t xml:space="preserve">t the time the cost </w:t>
      </w:r>
      <w:r w:rsidRPr="00130221">
        <w:rPr>
          <w:i/>
        </w:rPr>
        <w:t>is incurred)</w:t>
      </w:r>
    </w:p>
    <w:p w14:paraId="2BBB2C57" w14:textId="21B6CEF4" w:rsidR="002A4578" w:rsidRPr="00BE21AD" w:rsidRDefault="002A4578" w:rsidP="003C053A">
      <w:pPr>
        <w:spacing w:after="60"/>
        <w:rPr>
          <w:bCs/>
        </w:rPr>
      </w:pPr>
      <w:r w:rsidRPr="00BE21AD">
        <w:t xml:space="preserve">Indirect </w:t>
      </w:r>
      <w:r w:rsidR="00FA2FC6">
        <w:t>C</w:t>
      </w:r>
      <w:r w:rsidR="00FA2FC6" w:rsidRPr="00BE21AD">
        <w:t xml:space="preserve">osts </w:t>
      </w:r>
      <w:r w:rsidRPr="00BE21AD">
        <w:t xml:space="preserve">are </w:t>
      </w:r>
      <w:r w:rsidR="00760CDC">
        <w:t>operating expenses</w:t>
      </w:r>
      <w:r w:rsidR="00760CDC" w:rsidRPr="00BE21AD">
        <w:t xml:space="preserve"> </w:t>
      </w:r>
      <w:r w:rsidRPr="00BE21AD">
        <w:t xml:space="preserve">that are not directly related to a service or outcome such as human resource </w:t>
      </w:r>
      <w:r w:rsidR="007829CB">
        <w:t>expenses</w:t>
      </w:r>
      <w:r w:rsidR="00340C31">
        <w:t>.</w:t>
      </w:r>
    </w:p>
    <w:p w14:paraId="46A0BE7A" w14:textId="1FB3B6E5" w:rsidR="0016150E" w:rsidRPr="00BE21AD" w:rsidRDefault="00BA632E" w:rsidP="00B22669">
      <w:pPr>
        <w:pStyle w:val="ListParagraph"/>
        <w:numPr>
          <w:ilvl w:val="0"/>
          <w:numId w:val="3"/>
        </w:numPr>
        <w:spacing w:after="60"/>
        <w:contextualSpacing w:val="0"/>
        <w:rPr>
          <w:bCs/>
        </w:rPr>
      </w:pPr>
      <w:r w:rsidRPr="00BE21AD">
        <w:t xml:space="preserve">Indirect cost allocations are available to </w:t>
      </w:r>
      <w:r w:rsidR="006F7525">
        <w:t>grant</w:t>
      </w:r>
      <w:r w:rsidR="006F7525" w:rsidRPr="00BE21AD">
        <w:t xml:space="preserve">ees </w:t>
      </w:r>
      <w:r w:rsidRPr="00BE21AD">
        <w:t xml:space="preserve">that already have an approved indirect cost rate agreement with the </w:t>
      </w:r>
      <w:r w:rsidR="0096786B">
        <w:t>s</w:t>
      </w:r>
      <w:r w:rsidRPr="00BE21AD">
        <w:t xml:space="preserve">tate or </w:t>
      </w:r>
      <w:r w:rsidR="0096786B">
        <w:t>f</w:t>
      </w:r>
      <w:r w:rsidRPr="00BE21AD">
        <w:t>ederal government</w:t>
      </w:r>
      <w:r w:rsidR="003B32BE">
        <w:t>.</w:t>
      </w:r>
    </w:p>
    <w:p w14:paraId="1FB822FE" w14:textId="5C051D18" w:rsidR="00BA632E" w:rsidRPr="00B35AD1" w:rsidRDefault="008D45FB" w:rsidP="00B22669">
      <w:pPr>
        <w:pStyle w:val="ListParagraph"/>
        <w:numPr>
          <w:ilvl w:val="1"/>
          <w:numId w:val="3"/>
        </w:numPr>
        <w:spacing w:after="60"/>
        <w:contextualSpacing w:val="0"/>
        <w:rPr>
          <w:bCs/>
        </w:rPr>
      </w:pPr>
      <w:r w:rsidRPr="00B35AD1">
        <w:t>Allocations are</w:t>
      </w:r>
      <w:r w:rsidRPr="00B35AD1">
        <w:rPr>
          <w:bCs/>
        </w:rPr>
        <w:t xml:space="preserve"> l</w:t>
      </w:r>
      <w:r w:rsidR="00BA632E" w:rsidRPr="00B35AD1">
        <w:rPr>
          <w:bCs/>
        </w:rPr>
        <w:t xml:space="preserve">imited to the lesser of the </w:t>
      </w:r>
      <w:r w:rsidR="006F7525">
        <w:t>grant</w:t>
      </w:r>
      <w:r w:rsidR="006F7525" w:rsidRPr="00BE21AD">
        <w:t>ee</w:t>
      </w:r>
      <w:r w:rsidR="00BA632E" w:rsidRPr="00B35AD1">
        <w:t>’s</w:t>
      </w:r>
      <w:r w:rsidR="00BA632E" w:rsidRPr="00B35AD1">
        <w:rPr>
          <w:bCs/>
        </w:rPr>
        <w:t xml:space="preserve"> approved indirect cost rate or five percent (5%) of the total grant award</w:t>
      </w:r>
      <w:r w:rsidR="003B32BE">
        <w:rPr>
          <w:bCs/>
        </w:rPr>
        <w:t>.</w:t>
      </w:r>
    </w:p>
    <w:p w14:paraId="7623277D" w14:textId="4B3A0812" w:rsidR="0016150E" w:rsidRPr="00B35AD1" w:rsidRDefault="0016150E" w:rsidP="00B22669">
      <w:pPr>
        <w:pStyle w:val="ListParagraph"/>
        <w:numPr>
          <w:ilvl w:val="1"/>
          <w:numId w:val="3"/>
        </w:numPr>
        <w:spacing w:after="60"/>
        <w:contextualSpacing w:val="0"/>
        <w:rPr>
          <w:bCs/>
        </w:rPr>
      </w:pPr>
      <w:r w:rsidRPr="00B35AD1">
        <w:t>A</w:t>
      </w:r>
      <w:r w:rsidR="003A38CB" w:rsidRPr="00B35AD1">
        <w:t xml:space="preserve"> copy of the indirect cost allocation plan demonstrating how the indirect cost rate was established must be included wi</w:t>
      </w:r>
      <w:r w:rsidR="00E14C8F" w:rsidRPr="00B35AD1">
        <w:t>th the application for funding</w:t>
      </w:r>
      <w:r w:rsidR="003B32BE">
        <w:t>.</w:t>
      </w:r>
    </w:p>
    <w:p w14:paraId="3DAECF9C" w14:textId="0C547907" w:rsidR="0016150E" w:rsidRPr="00B35AD1" w:rsidRDefault="003A38CB" w:rsidP="00B22669">
      <w:pPr>
        <w:pStyle w:val="ListParagraph"/>
        <w:numPr>
          <w:ilvl w:val="2"/>
          <w:numId w:val="3"/>
        </w:numPr>
        <w:spacing w:after="60"/>
        <w:contextualSpacing w:val="0"/>
        <w:rPr>
          <w:bCs/>
        </w:rPr>
      </w:pPr>
      <w:r w:rsidRPr="00B35AD1">
        <w:t xml:space="preserve">All costs included in the plan shall be supported by formal accounting records </w:t>
      </w:r>
      <w:r w:rsidR="00FA2FC6" w:rsidRPr="00B35AD1">
        <w:t>substantiat</w:t>
      </w:r>
      <w:r w:rsidR="00FA2FC6">
        <w:t>ing</w:t>
      </w:r>
      <w:r w:rsidR="00FA2FC6" w:rsidRPr="00B35AD1">
        <w:t xml:space="preserve"> </w:t>
      </w:r>
      <w:r w:rsidRPr="00B35AD1">
        <w:t>the pr</w:t>
      </w:r>
      <w:r w:rsidR="00E14C8F" w:rsidRPr="00B35AD1">
        <w:t>opriety of such charges</w:t>
      </w:r>
      <w:r w:rsidR="003B32BE">
        <w:t>.</w:t>
      </w:r>
    </w:p>
    <w:p w14:paraId="765F6E68" w14:textId="4C7C2F41" w:rsidR="008D45FB" w:rsidRPr="00C13A21" w:rsidRDefault="008D45FB" w:rsidP="00B22669">
      <w:pPr>
        <w:pStyle w:val="ListParagraph"/>
        <w:numPr>
          <w:ilvl w:val="0"/>
          <w:numId w:val="3"/>
        </w:numPr>
        <w:spacing w:after="60"/>
        <w:contextualSpacing w:val="0"/>
        <w:rPr>
          <w:bCs/>
        </w:rPr>
      </w:pPr>
      <w:r w:rsidRPr="00B35AD1">
        <w:t>Indirect cost allocations are not available to applicant organizations that do not have a pre</w:t>
      </w:r>
      <w:r w:rsidR="00C10FC9" w:rsidRPr="00B35AD1">
        <w:t>-</w:t>
      </w:r>
      <w:r w:rsidRPr="00B35AD1">
        <w:t xml:space="preserve">existing approved indirect cost rate agreement with the </w:t>
      </w:r>
      <w:r w:rsidR="0096786B">
        <w:t>s</w:t>
      </w:r>
      <w:r w:rsidRPr="00B35AD1">
        <w:t xml:space="preserve">tate or </w:t>
      </w:r>
      <w:r w:rsidR="0096786B">
        <w:t>f</w:t>
      </w:r>
      <w:r w:rsidRPr="00B35AD1">
        <w:t>ederal government</w:t>
      </w:r>
      <w:r w:rsidR="003B32BE">
        <w:t>.</w:t>
      </w:r>
    </w:p>
    <w:p w14:paraId="461B8AB6" w14:textId="77E61110" w:rsidR="003A38CB" w:rsidRPr="006F7BE8" w:rsidRDefault="00937472" w:rsidP="006F7BE8">
      <w:pPr>
        <w:pStyle w:val="Heading2"/>
      </w:pPr>
      <w:bookmarkStart w:id="14" w:name="_Toc26533593"/>
      <w:r>
        <w:t>10</w:t>
      </w:r>
      <w:r w:rsidR="003A38CB" w:rsidRPr="006F7BE8">
        <w:t>. Ineligible Costs</w:t>
      </w:r>
      <w:bookmarkEnd w:id="14"/>
      <w:r w:rsidR="003A38CB" w:rsidRPr="006F7BE8">
        <w:t xml:space="preserve"> </w:t>
      </w:r>
    </w:p>
    <w:p w14:paraId="29A53692" w14:textId="77777777" w:rsidR="003A38CB" w:rsidRPr="006F7BE8" w:rsidRDefault="003A38CB" w:rsidP="003C053A">
      <w:pPr>
        <w:spacing w:after="60"/>
      </w:pPr>
      <w:r w:rsidRPr="006F7BE8">
        <w:t>Ineligible costs include</w:t>
      </w:r>
      <w:r w:rsidR="007E41BD">
        <w:t>, but are not limited to</w:t>
      </w:r>
      <w:r w:rsidRPr="006F7BE8">
        <w:t xml:space="preserve">: </w:t>
      </w:r>
    </w:p>
    <w:p w14:paraId="422B3955" w14:textId="15193815" w:rsidR="003A38CB" w:rsidRDefault="003304A7" w:rsidP="00B22669">
      <w:pPr>
        <w:pStyle w:val="ListParagraph"/>
        <w:numPr>
          <w:ilvl w:val="0"/>
          <w:numId w:val="4"/>
        </w:numPr>
        <w:spacing w:after="60"/>
        <w:contextualSpacing w:val="0"/>
      </w:pPr>
      <w:r>
        <w:t>E</w:t>
      </w:r>
      <w:r w:rsidR="003A38CB" w:rsidRPr="006F7BE8">
        <w:t>xpenses incurred before</w:t>
      </w:r>
      <w:r w:rsidR="00EC2913">
        <w:t xml:space="preserve"> July 1, 2021</w:t>
      </w:r>
    </w:p>
    <w:p w14:paraId="0F4357DC" w14:textId="0B0DBAAA" w:rsidR="000302FD" w:rsidRDefault="000302FD" w:rsidP="00B22669">
      <w:pPr>
        <w:pStyle w:val="ListParagraph"/>
        <w:numPr>
          <w:ilvl w:val="0"/>
          <w:numId w:val="4"/>
        </w:numPr>
        <w:spacing w:after="60"/>
        <w:contextualSpacing w:val="0"/>
      </w:pPr>
      <w:r>
        <w:lastRenderedPageBreak/>
        <w:t>Individual emergency fund expenses exceeding $</w:t>
      </w:r>
      <w:r w:rsidR="00EC2913">
        <w:t>500</w:t>
      </w:r>
      <w:r>
        <w:t xml:space="preserve"> </w:t>
      </w:r>
      <w:r w:rsidR="002926B2">
        <w:t>per instance</w:t>
      </w:r>
      <w:r w:rsidR="00B94694" w:rsidRPr="00B94694">
        <w:t xml:space="preserve"> </w:t>
      </w:r>
      <w:r w:rsidR="008F05BF">
        <w:t>when prior authorization was not received</w:t>
      </w:r>
      <w:r w:rsidR="00EE0E87">
        <w:t xml:space="preserve"> </w:t>
      </w:r>
      <w:r w:rsidR="002926B2">
        <w:t xml:space="preserve">or </w:t>
      </w:r>
      <w:r w:rsidR="004324A6">
        <w:t xml:space="preserve">any amount </w:t>
      </w:r>
      <w:proofErr w:type="gramStart"/>
      <w:r w:rsidR="004324A6">
        <w:t>in excess of</w:t>
      </w:r>
      <w:proofErr w:type="gramEnd"/>
      <w:r w:rsidR="004324A6">
        <w:t xml:space="preserve"> </w:t>
      </w:r>
      <w:r w:rsidR="002926B2">
        <w:t>$</w:t>
      </w:r>
      <w:r w:rsidR="00EC2913">
        <w:t>1,0</w:t>
      </w:r>
      <w:r w:rsidR="002926B2">
        <w:t xml:space="preserve">00 per client </w:t>
      </w:r>
    </w:p>
    <w:p w14:paraId="258E4E91" w14:textId="77777777" w:rsidR="00197061" w:rsidRDefault="00197061" w:rsidP="00B22669">
      <w:pPr>
        <w:pStyle w:val="ListParagraph"/>
        <w:numPr>
          <w:ilvl w:val="0"/>
          <w:numId w:val="4"/>
        </w:numPr>
        <w:spacing w:after="60"/>
        <w:contextualSpacing w:val="0"/>
      </w:pPr>
      <w:r w:rsidRPr="00C13A21">
        <w:t>The purchase of commercial property</w:t>
      </w:r>
    </w:p>
    <w:p w14:paraId="5F68DAA1" w14:textId="77777777" w:rsidR="000E2B83" w:rsidRDefault="000E2B83" w:rsidP="00B22669">
      <w:pPr>
        <w:pStyle w:val="ListParagraph"/>
        <w:numPr>
          <w:ilvl w:val="0"/>
          <w:numId w:val="4"/>
        </w:numPr>
        <w:spacing w:after="60"/>
        <w:contextualSpacing w:val="0"/>
      </w:pPr>
      <w:r>
        <w:t>A</w:t>
      </w:r>
      <w:r w:rsidRPr="000E2B83">
        <w:t>ll real estate taxes or other nonpayroll-related taxes</w:t>
      </w:r>
    </w:p>
    <w:p w14:paraId="5498370B" w14:textId="77777777" w:rsidR="000E2B83" w:rsidRDefault="000E2B83" w:rsidP="00B22669">
      <w:pPr>
        <w:pStyle w:val="ListParagraph"/>
        <w:numPr>
          <w:ilvl w:val="0"/>
          <w:numId w:val="4"/>
        </w:numPr>
        <w:spacing w:after="60"/>
        <w:contextualSpacing w:val="0"/>
      </w:pPr>
      <w:r>
        <w:t>Payments to impound accounts for taxes and insurance</w:t>
      </w:r>
    </w:p>
    <w:p w14:paraId="6E8471B1" w14:textId="77777777" w:rsidR="002E3497" w:rsidRDefault="002E3497" w:rsidP="00B22669">
      <w:pPr>
        <w:pStyle w:val="ListParagraph"/>
        <w:numPr>
          <w:ilvl w:val="0"/>
          <w:numId w:val="4"/>
        </w:numPr>
        <w:spacing w:after="60"/>
        <w:contextualSpacing w:val="0"/>
      </w:pPr>
      <w:r>
        <w:t>Depreciation charges</w:t>
      </w:r>
    </w:p>
    <w:p w14:paraId="6A0A8531" w14:textId="77777777" w:rsidR="004C701D" w:rsidRDefault="004C701D" w:rsidP="00B22669">
      <w:pPr>
        <w:pStyle w:val="ListParagraph"/>
        <w:numPr>
          <w:ilvl w:val="0"/>
          <w:numId w:val="4"/>
        </w:numPr>
        <w:spacing w:after="60"/>
        <w:contextualSpacing w:val="0"/>
      </w:pPr>
      <w:r w:rsidRPr="004C701D">
        <w:t>Any losses, whether actual or estimated, resulting from uncollectible accounts receivable</w:t>
      </w:r>
    </w:p>
    <w:p w14:paraId="30A4863D" w14:textId="77777777" w:rsidR="004C701D" w:rsidRPr="00C13A21" w:rsidRDefault="004C701D" w:rsidP="00B22669">
      <w:pPr>
        <w:pStyle w:val="ListParagraph"/>
        <w:numPr>
          <w:ilvl w:val="0"/>
          <w:numId w:val="4"/>
        </w:numPr>
        <w:spacing w:after="60"/>
        <w:contextualSpacing w:val="0"/>
      </w:pPr>
      <w:r w:rsidRPr="004C701D">
        <w:t>Any costs resulting from attempts to collect on delinquent accounts, prior to writing them off as uncollectible, including related legal and collection expenses</w:t>
      </w:r>
    </w:p>
    <w:p w14:paraId="32BE990B" w14:textId="6A9111FD" w:rsidR="00AF5133" w:rsidRPr="00E10E88" w:rsidRDefault="002926B2" w:rsidP="00B22669">
      <w:pPr>
        <w:pStyle w:val="ListParagraph"/>
        <w:numPr>
          <w:ilvl w:val="0"/>
          <w:numId w:val="4"/>
        </w:numPr>
        <w:spacing w:after="60"/>
        <w:contextualSpacing w:val="0"/>
      </w:pPr>
      <w:r>
        <w:t>In-state t</w:t>
      </w:r>
      <w:r w:rsidR="003A38CB" w:rsidRPr="00E10E88">
        <w:t xml:space="preserve">ravel costs </w:t>
      </w:r>
      <w:r w:rsidR="005239CF" w:rsidRPr="00E10E88">
        <w:t xml:space="preserve">for TRC staff </w:t>
      </w:r>
      <w:r w:rsidR="003A38CB" w:rsidRPr="00E10E88">
        <w:t>to attend conferences and training</w:t>
      </w:r>
      <w:r w:rsidR="00C13A21" w:rsidRPr="00E10E88">
        <w:t>s</w:t>
      </w:r>
      <w:r w:rsidR="00B94C64" w:rsidRPr="00E10E88">
        <w:t xml:space="preserve"> that </w:t>
      </w:r>
      <w:r w:rsidR="00C13A21" w:rsidRPr="00E10E88">
        <w:t xml:space="preserve">are </w:t>
      </w:r>
      <w:r w:rsidR="00B94C64" w:rsidRPr="00E10E88">
        <w:t xml:space="preserve">not </w:t>
      </w:r>
      <w:r w:rsidR="00C13A21" w:rsidRPr="00E10E88">
        <w:t xml:space="preserve">approved </w:t>
      </w:r>
      <w:r>
        <w:t xml:space="preserve">in advance </w:t>
      </w:r>
      <w:r w:rsidR="00C13A21" w:rsidRPr="00E10E88">
        <w:t xml:space="preserve">by </w:t>
      </w:r>
      <w:r w:rsidR="00CA2CE9" w:rsidRPr="00E10E88">
        <w:t>CalVCB</w:t>
      </w:r>
    </w:p>
    <w:p w14:paraId="55020E64" w14:textId="08C24FD2" w:rsidR="003A38CB" w:rsidRPr="00C2448F" w:rsidRDefault="00C2448F" w:rsidP="00B22669">
      <w:pPr>
        <w:pStyle w:val="ListParagraph"/>
        <w:numPr>
          <w:ilvl w:val="0"/>
          <w:numId w:val="4"/>
        </w:numPr>
        <w:spacing w:after="60"/>
        <w:contextualSpacing w:val="0"/>
      </w:pPr>
      <w:r w:rsidRPr="00C2448F">
        <w:t>Remodeling</w:t>
      </w:r>
      <w:r w:rsidR="00771DEF">
        <w:t>,</w:t>
      </w:r>
      <w:r w:rsidR="00AF5133" w:rsidRPr="00C2448F">
        <w:t xml:space="preserve"> refurbishing </w:t>
      </w:r>
      <w:r w:rsidR="00771DEF" w:rsidRPr="00C2448F">
        <w:t xml:space="preserve">or </w:t>
      </w:r>
      <w:r w:rsidR="00AF5133" w:rsidRPr="00C2448F">
        <w:t>costs</w:t>
      </w:r>
      <w:r w:rsidR="00771DEF">
        <w:t xml:space="preserve"> for tenant improvements made to real estate</w:t>
      </w:r>
    </w:p>
    <w:p w14:paraId="4AEEF289" w14:textId="7608E595" w:rsidR="00786095" w:rsidRDefault="00AF5133" w:rsidP="00B22669">
      <w:pPr>
        <w:pStyle w:val="ListParagraph"/>
        <w:numPr>
          <w:ilvl w:val="0"/>
          <w:numId w:val="4"/>
        </w:numPr>
        <w:spacing w:after="60"/>
        <w:contextualSpacing w:val="0"/>
      </w:pPr>
      <w:r w:rsidRPr="00C2448F">
        <w:t xml:space="preserve">The purchase </w:t>
      </w:r>
      <w:r w:rsidR="00081DA1" w:rsidRPr="00C2448F">
        <w:t xml:space="preserve">or lease </w:t>
      </w:r>
      <w:r w:rsidRPr="00C2448F">
        <w:t xml:space="preserve">of office </w:t>
      </w:r>
      <w:r w:rsidRPr="006F7BE8">
        <w:t>furniture</w:t>
      </w:r>
      <w:r w:rsidR="00EC2913">
        <w:t xml:space="preserve"> </w:t>
      </w:r>
      <w:r w:rsidRPr="006F7BE8">
        <w:t xml:space="preserve">or </w:t>
      </w:r>
      <w:r w:rsidR="008C34A0" w:rsidRPr="00C13A21">
        <w:t>office fixtures</w:t>
      </w:r>
    </w:p>
    <w:p w14:paraId="4BDB544D" w14:textId="77777777" w:rsidR="00772E95" w:rsidRPr="002A696F" w:rsidRDefault="00772E95" w:rsidP="00B22669">
      <w:pPr>
        <w:pStyle w:val="ListParagraph"/>
        <w:numPr>
          <w:ilvl w:val="0"/>
          <w:numId w:val="4"/>
        </w:numPr>
        <w:spacing w:after="60"/>
        <w:contextualSpacing w:val="0"/>
      </w:pPr>
      <w:r w:rsidRPr="002A696F">
        <w:t>Bonuses and/or commissions to any i</w:t>
      </w:r>
      <w:r w:rsidR="00DE7C4D" w:rsidRPr="002A696F">
        <w:t>ndividual or organization</w:t>
      </w:r>
    </w:p>
    <w:p w14:paraId="383DE258" w14:textId="77777777" w:rsidR="00772E95" w:rsidRPr="002A696F" w:rsidRDefault="00F5144C" w:rsidP="00B22669">
      <w:pPr>
        <w:pStyle w:val="ListParagraph"/>
        <w:numPr>
          <w:ilvl w:val="0"/>
          <w:numId w:val="4"/>
        </w:numPr>
        <w:spacing w:after="60"/>
        <w:contextualSpacing w:val="0"/>
      </w:pPr>
      <w:r w:rsidRPr="002A696F">
        <w:t>Costs for lobbying activities</w:t>
      </w:r>
    </w:p>
    <w:p w14:paraId="392111AD" w14:textId="77777777" w:rsidR="00772E95" w:rsidRPr="002A696F" w:rsidRDefault="00F5144C" w:rsidP="00B22669">
      <w:pPr>
        <w:pStyle w:val="ListParagraph"/>
        <w:numPr>
          <w:ilvl w:val="0"/>
          <w:numId w:val="4"/>
        </w:numPr>
        <w:spacing w:after="60"/>
        <w:contextualSpacing w:val="0"/>
      </w:pPr>
      <w:r w:rsidRPr="002A696F">
        <w:t>Costs of conducting fundraising activities</w:t>
      </w:r>
    </w:p>
    <w:p w14:paraId="44AFED2B" w14:textId="5A6C1683" w:rsidR="00772E95" w:rsidRPr="002A696F" w:rsidRDefault="00F5144C" w:rsidP="00B22669">
      <w:pPr>
        <w:pStyle w:val="ListParagraph"/>
        <w:numPr>
          <w:ilvl w:val="0"/>
          <w:numId w:val="4"/>
        </w:numPr>
        <w:spacing w:after="60"/>
        <w:contextualSpacing w:val="0"/>
      </w:pPr>
      <w:r w:rsidRPr="002A696F">
        <w:t>Costs of food and beverages that are not related to overnight travel expenses</w:t>
      </w:r>
      <w:r w:rsidR="00625BC9">
        <w:t xml:space="preserve"> and the costs of food and/or beverages at grant-sponsored conferences, meetings, or office functions</w:t>
      </w:r>
    </w:p>
    <w:p w14:paraId="2C2A63DD" w14:textId="7FA8863D" w:rsidR="00772E95" w:rsidRDefault="00772E95" w:rsidP="00B22669">
      <w:pPr>
        <w:pStyle w:val="ListParagraph"/>
        <w:numPr>
          <w:ilvl w:val="0"/>
          <w:numId w:val="4"/>
        </w:numPr>
        <w:spacing w:after="60"/>
        <w:contextualSpacing w:val="0"/>
      </w:pPr>
      <w:r w:rsidRPr="002A696F">
        <w:t>Membership dues for the licensing or credentialing of</w:t>
      </w:r>
      <w:r w:rsidR="008F29B0">
        <w:t xml:space="preserve"> </w:t>
      </w:r>
      <w:r w:rsidR="002760F0">
        <w:t>clinical</w:t>
      </w:r>
      <w:r w:rsidRPr="002A696F">
        <w:t xml:space="preserve"> personnel</w:t>
      </w:r>
    </w:p>
    <w:p w14:paraId="7145D592" w14:textId="77777777" w:rsidR="0087006B" w:rsidRDefault="0087006B" w:rsidP="00B22669">
      <w:pPr>
        <w:pStyle w:val="ListParagraph"/>
        <w:numPr>
          <w:ilvl w:val="0"/>
          <w:numId w:val="4"/>
        </w:numPr>
        <w:spacing w:after="60"/>
        <w:contextualSpacing w:val="0"/>
      </w:pPr>
      <w:r>
        <w:t>Membership dues such as Amazon Prime, Costco, and Sam’s Club</w:t>
      </w:r>
    </w:p>
    <w:p w14:paraId="1F1F3C66" w14:textId="27D03972" w:rsidR="002E3497" w:rsidRDefault="002E3497" w:rsidP="00B22669">
      <w:pPr>
        <w:pStyle w:val="ListParagraph"/>
        <w:numPr>
          <w:ilvl w:val="0"/>
          <w:numId w:val="4"/>
        </w:numPr>
        <w:spacing w:after="60"/>
        <w:contextualSpacing w:val="0"/>
      </w:pPr>
      <w:r w:rsidRPr="002E3497">
        <w:t>The cost of a professional license</w:t>
      </w:r>
      <w:r>
        <w:t xml:space="preserve"> or annual dues or fees</w:t>
      </w:r>
    </w:p>
    <w:p w14:paraId="7A3882AF" w14:textId="41B22F0F" w:rsidR="00771DEF" w:rsidRDefault="00EE0E87" w:rsidP="00B22669">
      <w:pPr>
        <w:pStyle w:val="ListParagraph"/>
        <w:numPr>
          <w:ilvl w:val="0"/>
          <w:numId w:val="4"/>
        </w:numPr>
        <w:spacing w:after="60"/>
        <w:contextualSpacing w:val="0"/>
      </w:pPr>
      <w:r>
        <w:t>Costs or f</w:t>
      </w:r>
      <w:r w:rsidR="00771DEF">
        <w:t xml:space="preserve">ees for continuing education </w:t>
      </w:r>
      <w:r w:rsidR="003F3253">
        <w:t>required for licensure</w:t>
      </w:r>
      <w:r>
        <w:t>, unless training being offered is related to TRC services</w:t>
      </w:r>
    </w:p>
    <w:p w14:paraId="6217F1F3" w14:textId="64FBFD5E" w:rsidR="009742C5" w:rsidRDefault="002E3497" w:rsidP="00B22669">
      <w:pPr>
        <w:pStyle w:val="ListParagraph"/>
        <w:numPr>
          <w:ilvl w:val="0"/>
          <w:numId w:val="4"/>
        </w:numPr>
        <w:spacing w:after="60"/>
        <w:contextualSpacing w:val="0"/>
      </w:pPr>
      <w:r w:rsidRPr="002E3497">
        <w:t>Finance charges, late payment fees, penalties, returned check charges</w:t>
      </w:r>
      <w:r>
        <w:t>, and convenience fees</w:t>
      </w:r>
      <w:r w:rsidRPr="002E3497">
        <w:t xml:space="preserve"> </w:t>
      </w:r>
    </w:p>
    <w:p w14:paraId="4BA9F0E3" w14:textId="77777777" w:rsidR="000E2B83" w:rsidRPr="002A696F" w:rsidRDefault="000E2B83" w:rsidP="00B22669">
      <w:pPr>
        <w:pStyle w:val="ListParagraph"/>
        <w:numPr>
          <w:ilvl w:val="0"/>
          <w:numId w:val="4"/>
        </w:numPr>
        <w:spacing w:after="60"/>
        <w:contextualSpacing w:val="0"/>
      </w:pPr>
      <w:r>
        <w:t>Banking service charges and fees</w:t>
      </w:r>
    </w:p>
    <w:p w14:paraId="518B06BC" w14:textId="77777777" w:rsidR="00F5144C" w:rsidRDefault="00F5144C" w:rsidP="00B22669">
      <w:pPr>
        <w:pStyle w:val="ListParagraph"/>
        <w:numPr>
          <w:ilvl w:val="0"/>
          <w:numId w:val="4"/>
        </w:numPr>
        <w:spacing w:after="60"/>
        <w:contextualSpacing w:val="0"/>
      </w:pPr>
      <w:r w:rsidRPr="002A696F">
        <w:t>Costs related to the preparation of future grant applications</w:t>
      </w:r>
    </w:p>
    <w:p w14:paraId="5D8E4511" w14:textId="77777777" w:rsidR="004C701D" w:rsidRDefault="004C701D" w:rsidP="00B22669">
      <w:pPr>
        <w:pStyle w:val="ListParagraph"/>
        <w:numPr>
          <w:ilvl w:val="0"/>
          <w:numId w:val="4"/>
        </w:numPr>
        <w:spacing w:after="60"/>
        <w:contextualSpacing w:val="0"/>
      </w:pPr>
      <w:r>
        <w:t>Retainer fees</w:t>
      </w:r>
    </w:p>
    <w:p w14:paraId="35FC9729" w14:textId="0A2692F0" w:rsidR="00DD3320" w:rsidRDefault="004C701D" w:rsidP="00B22669">
      <w:pPr>
        <w:pStyle w:val="ListParagraph"/>
        <w:numPr>
          <w:ilvl w:val="0"/>
          <w:numId w:val="4"/>
        </w:numPr>
        <w:spacing w:after="60"/>
        <w:contextualSpacing w:val="0"/>
      </w:pPr>
      <w:r>
        <w:t>S</w:t>
      </w:r>
      <w:r w:rsidR="00DD3320">
        <w:t>ervices that have yet to be provided such as prepayment to subcontractors</w:t>
      </w:r>
    </w:p>
    <w:p w14:paraId="363FCEA5" w14:textId="100A5D6E" w:rsidR="000245AC" w:rsidRPr="002A696F" w:rsidRDefault="00853A6B" w:rsidP="00B22669">
      <w:pPr>
        <w:pStyle w:val="ListParagraph"/>
        <w:numPr>
          <w:ilvl w:val="0"/>
          <w:numId w:val="4"/>
        </w:numPr>
        <w:spacing w:after="60"/>
        <w:contextualSpacing w:val="0"/>
      </w:pPr>
      <w:r>
        <w:t xml:space="preserve">Purchases found to be </w:t>
      </w:r>
      <w:proofErr w:type="gramStart"/>
      <w:r>
        <w:t>in excess of</w:t>
      </w:r>
      <w:proofErr w:type="gramEnd"/>
      <w:r>
        <w:t xml:space="preserve"> a lower cost alternative (with no justification</w:t>
      </w:r>
      <w:r w:rsidR="003F3253">
        <w:t xml:space="preserve"> provided</w:t>
      </w:r>
      <w:r>
        <w:t xml:space="preserve"> for the more costly </w:t>
      </w:r>
      <w:r w:rsidR="003F3253">
        <w:t>request</w:t>
      </w:r>
      <w:r>
        <w:t>)</w:t>
      </w:r>
    </w:p>
    <w:p w14:paraId="48E7661C" w14:textId="67242825" w:rsidR="00772E95" w:rsidRDefault="00772E95" w:rsidP="00B22669">
      <w:pPr>
        <w:pStyle w:val="ListParagraph"/>
        <w:numPr>
          <w:ilvl w:val="0"/>
          <w:numId w:val="4"/>
        </w:numPr>
        <w:spacing w:after="60"/>
        <w:contextualSpacing w:val="0"/>
      </w:pPr>
      <w:r>
        <w:t>I</w:t>
      </w:r>
      <w:r w:rsidRPr="008C34A0">
        <w:t>ndirect costs</w:t>
      </w:r>
      <w:r w:rsidR="00C109D6">
        <w:t>,</w:t>
      </w:r>
      <w:r w:rsidRPr="008C34A0">
        <w:t xml:space="preserve"> if </w:t>
      </w:r>
      <w:r w:rsidR="005D0010">
        <w:t>the TR</w:t>
      </w:r>
      <w:r w:rsidR="003F3253">
        <w:t>C</w:t>
      </w:r>
      <w:r w:rsidRPr="008C34A0">
        <w:t xml:space="preserve"> does not have a pre-existing indirect </w:t>
      </w:r>
      <w:r>
        <w:t xml:space="preserve">cost </w:t>
      </w:r>
      <w:r w:rsidRPr="008C34A0">
        <w:t>rate agreement</w:t>
      </w:r>
    </w:p>
    <w:p w14:paraId="704515AA" w14:textId="77777777" w:rsidR="002E3497" w:rsidRDefault="002E3497" w:rsidP="00B22669">
      <w:pPr>
        <w:pStyle w:val="ListParagraph"/>
        <w:numPr>
          <w:ilvl w:val="0"/>
          <w:numId w:val="4"/>
        </w:numPr>
        <w:spacing w:after="60"/>
        <w:contextualSpacing w:val="0"/>
      </w:pPr>
      <w:r w:rsidRPr="002E3497">
        <w:t>The cost of weapons and/or ammunition of any type</w:t>
      </w:r>
    </w:p>
    <w:p w14:paraId="255CFE44" w14:textId="5029799D" w:rsidR="003A38CB" w:rsidRPr="006F7BE8" w:rsidRDefault="00937472" w:rsidP="006F7BE8">
      <w:pPr>
        <w:pStyle w:val="Heading2"/>
      </w:pPr>
      <w:bookmarkStart w:id="15" w:name="_Toc26533594"/>
      <w:r>
        <w:lastRenderedPageBreak/>
        <w:t>11</w:t>
      </w:r>
      <w:r w:rsidR="003A38CB" w:rsidRPr="006F7BE8">
        <w:t>. Reporting Requirements</w:t>
      </w:r>
      <w:bookmarkEnd w:id="15"/>
      <w:r w:rsidR="003A38CB" w:rsidRPr="006F7BE8">
        <w:t xml:space="preserve"> </w:t>
      </w:r>
    </w:p>
    <w:p w14:paraId="220B57C3" w14:textId="3E4D87DA" w:rsidR="00F17C1B" w:rsidRDefault="00F17C1B" w:rsidP="002431B6">
      <w:pPr>
        <w:spacing w:after="60"/>
      </w:pPr>
      <w:bookmarkStart w:id="16" w:name="_Toc26533595"/>
      <w:r w:rsidRPr="00F17C1B">
        <w:t>In compliance with federal statutes and rules governing federal matching funds for victims’ services, each center shall submit any forms and data requested by the board to allow the board to receive the 60 percent federal matching funds for eligible victim services and allowable expenses.</w:t>
      </w:r>
      <w:r>
        <w:t xml:space="preserve"> Government Code </w:t>
      </w:r>
      <w:r>
        <w:rPr>
          <w:rFonts w:cstheme="minorHAnsi"/>
        </w:rPr>
        <w:t>§</w:t>
      </w:r>
      <w:r>
        <w:t>13963.1(g)(2)</w:t>
      </w:r>
    </w:p>
    <w:p w14:paraId="61656FCF" w14:textId="77777777" w:rsidR="00F17C1B" w:rsidRDefault="002431B6" w:rsidP="002431B6">
      <w:pPr>
        <w:spacing w:after="60"/>
      </w:pPr>
      <w:r>
        <w:t>Grant</w:t>
      </w:r>
      <w:r w:rsidRPr="00BE21AD">
        <w:t>ee</w:t>
      </w:r>
      <w:r w:rsidRPr="003304A7">
        <w:t xml:space="preserve">s are required to participate in data collection activities using </w:t>
      </w:r>
      <w:r>
        <w:t>systems and tools designed and provided by CalVCB.</w:t>
      </w:r>
      <w:r w:rsidRPr="003304A7">
        <w:t xml:space="preserve"> </w:t>
      </w:r>
      <w:r>
        <w:t>Grantees</w:t>
      </w:r>
      <w:r w:rsidRPr="003304A7">
        <w:t xml:space="preserve"> submit data collection reports quarterly</w:t>
      </w:r>
      <w:r>
        <w:t>. Grantees</w:t>
      </w:r>
      <w:r w:rsidRPr="003304A7">
        <w:t xml:space="preserve"> must keep accurate records as source documentation to support the information in the </w:t>
      </w:r>
      <w:bookmarkStart w:id="17" w:name="_Hlk54772173"/>
      <w:r w:rsidR="00CC38AA" w:rsidRPr="003304A7">
        <w:t>reports</w:t>
      </w:r>
      <w:r w:rsidR="00CC535B">
        <w:t>.</w:t>
      </w:r>
      <w:bookmarkEnd w:id="17"/>
      <w:r w:rsidR="006C6590">
        <w:t xml:space="preserve"> </w:t>
      </w:r>
    </w:p>
    <w:p w14:paraId="59B4F5CF" w14:textId="1B94E9D1" w:rsidR="002431B6" w:rsidRDefault="002431B6" w:rsidP="002431B6">
      <w:pPr>
        <w:spacing w:after="60"/>
      </w:pPr>
      <w:r w:rsidRPr="003304A7">
        <w:t xml:space="preserve">The reports provide TRC staff and CalVCB </w:t>
      </w:r>
      <w:r>
        <w:t xml:space="preserve">with </w:t>
      </w:r>
      <w:r w:rsidRPr="003304A7">
        <w:t xml:space="preserve">a formal process to track ongoing program activities and progress toward the achievement of </w:t>
      </w:r>
      <w:r>
        <w:t>grant</w:t>
      </w:r>
      <w:r w:rsidRPr="003304A7">
        <w:t xml:space="preserve"> deliverables and goals listed in the grant </w:t>
      </w:r>
      <w:bookmarkStart w:id="18" w:name="_Hlk54772188"/>
      <w:r w:rsidR="00CC38AA" w:rsidRPr="003304A7">
        <w:t>agreement</w:t>
      </w:r>
      <w:bookmarkEnd w:id="18"/>
      <w:r w:rsidR="00CC38AA">
        <w:t>.</w:t>
      </w:r>
      <w:r w:rsidRPr="003304A7">
        <w:tab/>
      </w:r>
    </w:p>
    <w:p w14:paraId="0E46DF71" w14:textId="4F7D4B82" w:rsidR="002431B6" w:rsidRPr="004D7749" w:rsidRDefault="00F17C1B" w:rsidP="002431B6">
      <w:pPr>
        <w:spacing w:after="60"/>
        <w:rPr>
          <w:color w:val="FF0000"/>
        </w:rPr>
      </w:pPr>
      <w:r>
        <w:t>R</w:t>
      </w:r>
      <w:r w:rsidR="002431B6" w:rsidRPr="003304A7">
        <w:t xml:space="preserve">ecords must be retained by the </w:t>
      </w:r>
      <w:r w:rsidR="002431B6">
        <w:t>grantee</w:t>
      </w:r>
      <w:r w:rsidR="002431B6" w:rsidRPr="003304A7">
        <w:t xml:space="preserve"> for three years from the end of the grant award period. During programmatic monitoring and site visits, CalVCB </w:t>
      </w:r>
      <w:r w:rsidR="000507D4">
        <w:t xml:space="preserve">or its agents </w:t>
      </w:r>
      <w:r w:rsidR="002431B6" w:rsidRPr="003304A7">
        <w:t xml:space="preserve">may review these records for accuracy and compare that data to the reports submitted by the </w:t>
      </w:r>
      <w:r w:rsidR="002431B6">
        <w:t>grantee</w:t>
      </w:r>
      <w:r w:rsidR="002431B6" w:rsidRPr="003304A7">
        <w:t xml:space="preserve">. </w:t>
      </w:r>
    </w:p>
    <w:p w14:paraId="4FF6B257" w14:textId="77777777" w:rsidR="002431B6" w:rsidRPr="00AE5FBE" w:rsidRDefault="002431B6" w:rsidP="002431B6">
      <w:pPr>
        <w:spacing w:after="60"/>
      </w:pPr>
      <w:r w:rsidRPr="00AE5FBE">
        <w:t>Data collected includes, but is not limited to:</w:t>
      </w:r>
    </w:p>
    <w:p w14:paraId="4624879A" w14:textId="77777777" w:rsidR="002431B6" w:rsidRPr="00AE5FBE" w:rsidRDefault="002431B6" w:rsidP="002431B6">
      <w:pPr>
        <w:pStyle w:val="ListParagraph"/>
        <w:numPr>
          <w:ilvl w:val="0"/>
          <w:numId w:val="11"/>
        </w:numPr>
        <w:spacing w:after="60"/>
        <w:contextualSpacing w:val="0"/>
      </w:pPr>
      <w:r w:rsidRPr="00AE5FBE">
        <w:t>Demographic information</w:t>
      </w:r>
    </w:p>
    <w:p w14:paraId="0272EA2D" w14:textId="77777777" w:rsidR="002431B6" w:rsidRPr="00AE5FBE" w:rsidRDefault="002431B6" w:rsidP="002431B6">
      <w:pPr>
        <w:pStyle w:val="ListParagraph"/>
        <w:numPr>
          <w:ilvl w:val="0"/>
          <w:numId w:val="11"/>
        </w:numPr>
        <w:spacing w:after="60"/>
        <w:contextualSpacing w:val="0"/>
      </w:pPr>
      <w:r w:rsidRPr="00AE5FBE">
        <w:t>Client resources</w:t>
      </w:r>
    </w:p>
    <w:p w14:paraId="0D8E81EA" w14:textId="77777777" w:rsidR="002431B6" w:rsidRPr="00AE5FBE" w:rsidRDefault="002431B6" w:rsidP="002431B6">
      <w:pPr>
        <w:pStyle w:val="ListParagraph"/>
        <w:numPr>
          <w:ilvl w:val="0"/>
          <w:numId w:val="11"/>
        </w:numPr>
        <w:spacing w:after="60"/>
        <w:contextualSpacing w:val="0"/>
      </w:pPr>
      <w:r w:rsidRPr="00AE5FBE">
        <w:t>Crime information</w:t>
      </w:r>
    </w:p>
    <w:p w14:paraId="2F1A9F04" w14:textId="77777777" w:rsidR="002431B6" w:rsidRPr="00AE5FBE" w:rsidRDefault="002431B6" w:rsidP="002431B6">
      <w:pPr>
        <w:pStyle w:val="ListParagraph"/>
        <w:numPr>
          <w:ilvl w:val="0"/>
          <w:numId w:val="11"/>
        </w:numPr>
        <w:spacing w:after="60"/>
        <w:contextualSpacing w:val="0"/>
      </w:pPr>
      <w:r w:rsidRPr="00AE5FBE">
        <w:t>Services provided and referred to the client</w:t>
      </w:r>
    </w:p>
    <w:p w14:paraId="2B531EFE" w14:textId="77777777" w:rsidR="002431B6" w:rsidRPr="00AE5FBE" w:rsidRDefault="002431B6" w:rsidP="002431B6">
      <w:pPr>
        <w:pStyle w:val="ListParagraph"/>
        <w:numPr>
          <w:ilvl w:val="0"/>
          <w:numId w:val="11"/>
        </w:numPr>
        <w:spacing w:after="60"/>
        <w:contextualSpacing w:val="0"/>
      </w:pPr>
      <w:r w:rsidRPr="00AE5FBE">
        <w:t>Session and case management information</w:t>
      </w:r>
    </w:p>
    <w:p w14:paraId="2ED8B524" w14:textId="77777777" w:rsidR="002431B6" w:rsidRPr="00AE5FBE" w:rsidRDefault="002431B6" w:rsidP="002431B6">
      <w:pPr>
        <w:pStyle w:val="ListParagraph"/>
        <w:numPr>
          <w:ilvl w:val="0"/>
          <w:numId w:val="11"/>
        </w:numPr>
        <w:spacing w:after="60"/>
        <w:contextualSpacing w:val="0"/>
      </w:pPr>
      <w:r w:rsidRPr="00AE5FBE">
        <w:t>Assessment data</w:t>
      </w:r>
    </w:p>
    <w:p w14:paraId="4AA9E8C4" w14:textId="77777777" w:rsidR="002431B6" w:rsidRPr="00AE5FBE" w:rsidRDefault="002431B6" w:rsidP="002431B6">
      <w:pPr>
        <w:pStyle w:val="ListParagraph"/>
        <w:numPr>
          <w:ilvl w:val="0"/>
          <w:numId w:val="11"/>
        </w:numPr>
        <w:spacing w:after="60"/>
        <w:contextualSpacing w:val="0"/>
      </w:pPr>
      <w:r w:rsidRPr="00AE5FBE">
        <w:t xml:space="preserve">Training provided </w:t>
      </w:r>
    </w:p>
    <w:p w14:paraId="73537400" w14:textId="77777777" w:rsidR="002431B6" w:rsidRPr="00AE5FBE" w:rsidRDefault="002431B6" w:rsidP="002431B6">
      <w:pPr>
        <w:pStyle w:val="ListParagraph"/>
        <w:numPr>
          <w:ilvl w:val="0"/>
          <w:numId w:val="11"/>
        </w:numPr>
        <w:spacing w:after="60"/>
        <w:contextualSpacing w:val="0"/>
      </w:pPr>
      <w:r w:rsidRPr="00AE5FBE">
        <w:t xml:space="preserve">Community outreach </w:t>
      </w:r>
      <w:r>
        <w:t>activities</w:t>
      </w:r>
    </w:p>
    <w:p w14:paraId="63962B2B" w14:textId="77777777" w:rsidR="002431B6" w:rsidRPr="00AE5FBE" w:rsidRDefault="002431B6" w:rsidP="002431B6">
      <w:pPr>
        <w:pStyle w:val="ListParagraph"/>
        <w:numPr>
          <w:ilvl w:val="0"/>
          <w:numId w:val="11"/>
        </w:numPr>
        <w:spacing w:after="60"/>
        <w:ind w:left="763"/>
        <w:contextualSpacing w:val="0"/>
      </w:pPr>
      <w:r w:rsidRPr="00AE5FBE">
        <w:t>Collaborative activities</w:t>
      </w:r>
    </w:p>
    <w:p w14:paraId="1303048A" w14:textId="184A10A1" w:rsidR="002431B6" w:rsidRPr="00AE5FBE" w:rsidRDefault="002431B6" w:rsidP="002431B6">
      <w:pPr>
        <w:spacing w:after="60"/>
      </w:pPr>
      <w:r>
        <w:t>Grantees</w:t>
      </w:r>
      <w:r w:rsidRPr="00AE5FBE">
        <w:t xml:space="preserve"> will only record data </w:t>
      </w:r>
      <w:r>
        <w:t xml:space="preserve">in the collection tool provided </w:t>
      </w:r>
      <w:r w:rsidRPr="00AE5FBE">
        <w:t>for</w:t>
      </w:r>
      <w:r>
        <w:t xml:space="preserve"> services and activities that are </w:t>
      </w:r>
      <w:r w:rsidRPr="00AE5FBE">
        <w:t xml:space="preserve">funded by the grant. Data submissions are due by the fifteenth </w:t>
      </w:r>
      <w:r w:rsidR="0024395C">
        <w:t>(15</w:t>
      </w:r>
      <w:r w:rsidR="0024395C" w:rsidRPr="0024395C">
        <w:rPr>
          <w:vertAlign w:val="superscript"/>
        </w:rPr>
        <w:t>th</w:t>
      </w:r>
      <w:r w:rsidR="0024395C">
        <w:t xml:space="preserve">) </w:t>
      </w:r>
      <w:r w:rsidRPr="00AE5FBE">
        <w:t>calendar day following the end of each fiscal quarter.</w:t>
      </w:r>
    </w:p>
    <w:p w14:paraId="75D1D588" w14:textId="77777777" w:rsidR="002431B6" w:rsidRPr="00492F8F" w:rsidRDefault="002431B6" w:rsidP="002431B6">
      <w:pPr>
        <w:spacing w:after="60"/>
      </w:pPr>
      <w:r w:rsidRPr="00492F8F">
        <w:t xml:space="preserve">The mental health assessments that will be required may include, but are not limited to, the following: </w:t>
      </w:r>
    </w:p>
    <w:p w14:paraId="0DF9B37A" w14:textId="77777777" w:rsidR="002431B6" w:rsidRPr="00492F8F" w:rsidRDefault="002431B6" w:rsidP="002431B6">
      <w:pPr>
        <w:pStyle w:val="ListParagraph"/>
        <w:numPr>
          <w:ilvl w:val="0"/>
          <w:numId w:val="9"/>
        </w:numPr>
        <w:spacing w:after="60"/>
        <w:contextualSpacing w:val="0"/>
      </w:pPr>
      <w:r w:rsidRPr="00492F8F">
        <w:t>Posttraumatic Stress Disorder Checklist for DSM-5 (PCL-5)</w:t>
      </w:r>
    </w:p>
    <w:p w14:paraId="3F67068B" w14:textId="77777777" w:rsidR="002431B6" w:rsidRPr="00492F8F" w:rsidRDefault="002431B6" w:rsidP="002431B6">
      <w:pPr>
        <w:pStyle w:val="ListParagraph"/>
        <w:numPr>
          <w:ilvl w:val="0"/>
          <w:numId w:val="9"/>
        </w:numPr>
        <w:spacing w:after="60"/>
        <w:contextualSpacing w:val="0"/>
      </w:pPr>
      <w:r w:rsidRPr="00492F8F">
        <w:t>World Health Organization Quality of Life Instrument (WHOQOL-BREF)</w:t>
      </w:r>
    </w:p>
    <w:p w14:paraId="6E72D750" w14:textId="77777777" w:rsidR="002431B6" w:rsidRPr="00492F8F" w:rsidRDefault="002431B6" w:rsidP="002431B6">
      <w:pPr>
        <w:pStyle w:val="ListParagraph"/>
        <w:numPr>
          <w:ilvl w:val="0"/>
          <w:numId w:val="9"/>
        </w:numPr>
        <w:spacing w:after="60"/>
        <w:contextualSpacing w:val="0"/>
      </w:pPr>
      <w:r w:rsidRPr="00492F8F">
        <w:t>Child Posttraumatic Stress Disorder Symptom Scale Self-Report (CPSS-SR)</w:t>
      </w:r>
    </w:p>
    <w:p w14:paraId="46BB0994" w14:textId="77777777" w:rsidR="002431B6" w:rsidRDefault="002431B6" w:rsidP="002431B6">
      <w:pPr>
        <w:pStyle w:val="ListParagraph"/>
        <w:numPr>
          <w:ilvl w:val="0"/>
          <w:numId w:val="9"/>
        </w:numPr>
        <w:spacing w:after="60"/>
        <w:contextualSpacing w:val="0"/>
      </w:pPr>
      <w:r w:rsidRPr="00492F8F">
        <w:t>Traumatic Events Screening Inventory (TESI-PRF-R)</w:t>
      </w:r>
    </w:p>
    <w:p w14:paraId="106B53CD" w14:textId="33613192" w:rsidR="002431B6" w:rsidRPr="00492F8F" w:rsidRDefault="002431B6" w:rsidP="002431B6">
      <w:pPr>
        <w:spacing w:after="60"/>
      </w:pPr>
      <w:r>
        <w:t xml:space="preserve">The </w:t>
      </w:r>
      <w:r w:rsidRPr="001531A8">
        <w:t>Posttraumatic Stress Disorder Checklist for DSM-5 (PCL-5)</w:t>
      </w:r>
      <w:r>
        <w:t xml:space="preserve">, </w:t>
      </w:r>
      <w:r w:rsidRPr="001531A8">
        <w:t>World Health Organization Quality of Life Instrument (WHOQOL-BREF)</w:t>
      </w:r>
      <w:r>
        <w:t xml:space="preserve">, and </w:t>
      </w:r>
      <w:r w:rsidRPr="001531A8">
        <w:t>Child Posttraumatic Stress Disorder Symptom Scale Self-Report (CPSS)</w:t>
      </w:r>
      <w:r>
        <w:t xml:space="preserve"> </w:t>
      </w:r>
      <w:r w:rsidR="000507D4">
        <w:t xml:space="preserve">shall </w:t>
      </w:r>
      <w:r>
        <w:t xml:space="preserve">be administered at intake and </w:t>
      </w:r>
      <w:r w:rsidR="000507D4">
        <w:t xml:space="preserve">at least </w:t>
      </w:r>
      <w:r>
        <w:t xml:space="preserve">every eight sessions thereafter. The </w:t>
      </w:r>
      <w:r w:rsidRPr="002E1453">
        <w:t>Traumatic Events Screening Inventory (TESI)</w:t>
      </w:r>
      <w:r>
        <w:t xml:space="preserve"> </w:t>
      </w:r>
      <w:r w:rsidR="000507D4">
        <w:t xml:space="preserve">need </w:t>
      </w:r>
      <w:r>
        <w:t>only be administered at intake.</w:t>
      </w:r>
    </w:p>
    <w:p w14:paraId="007A9B92" w14:textId="77777777" w:rsidR="002431B6" w:rsidRPr="00C2448F" w:rsidRDefault="002431B6" w:rsidP="002431B6">
      <w:pPr>
        <w:spacing w:after="60"/>
      </w:pPr>
      <w:r w:rsidRPr="00C2448F">
        <w:lastRenderedPageBreak/>
        <w:t xml:space="preserve">Software Requirements: </w:t>
      </w:r>
    </w:p>
    <w:p w14:paraId="7AAED713" w14:textId="77777777" w:rsidR="002431B6" w:rsidRPr="00C2448F" w:rsidRDefault="002431B6" w:rsidP="002431B6">
      <w:pPr>
        <w:pStyle w:val="ListParagraph"/>
        <w:numPr>
          <w:ilvl w:val="0"/>
          <w:numId w:val="8"/>
        </w:numPr>
        <w:spacing w:after="60"/>
        <w:contextualSpacing w:val="0"/>
      </w:pPr>
      <w:r w:rsidRPr="00C2448F">
        <w:t>Microsoft Excel</w:t>
      </w:r>
      <w:r>
        <w:t>, 2010 version or newer</w:t>
      </w:r>
    </w:p>
    <w:p w14:paraId="207DE619" w14:textId="77777777" w:rsidR="002431B6" w:rsidRDefault="002431B6" w:rsidP="002431B6">
      <w:pPr>
        <w:pStyle w:val="ListParagraph"/>
        <w:numPr>
          <w:ilvl w:val="0"/>
          <w:numId w:val="8"/>
        </w:numPr>
        <w:spacing w:after="60"/>
        <w:contextualSpacing w:val="0"/>
      </w:pPr>
      <w:r w:rsidRPr="00C2448F">
        <w:t>Microsoft Access</w:t>
      </w:r>
      <w:r>
        <w:t>, 2010 version or newer</w:t>
      </w:r>
    </w:p>
    <w:p w14:paraId="40D8BF80" w14:textId="64FD8123" w:rsidR="00954247" w:rsidRDefault="00937472" w:rsidP="00954247">
      <w:pPr>
        <w:pStyle w:val="Heading2"/>
      </w:pPr>
      <w:r>
        <w:t>12</w:t>
      </w:r>
      <w:r w:rsidR="00954247">
        <w:t>. TRC Grant Oversight</w:t>
      </w:r>
      <w:bookmarkEnd w:id="16"/>
    </w:p>
    <w:p w14:paraId="56375B14" w14:textId="20705A2B" w:rsidR="00954247" w:rsidRDefault="00583D3C" w:rsidP="003C053A">
      <w:pPr>
        <w:spacing w:after="60"/>
      </w:pPr>
      <w:r>
        <w:t>CalVCB TRC grantees should anticipate</w:t>
      </w:r>
      <w:r w:rsidR="0024395C">
        <w:t>,</w:t>
      </w:r>
      <w:r>
        <w:t xml:space="preserve"> and </w:t>
      </w:r>
      <w:r w:rsidR="000507D4">
        <w:t xml:space="preserve">shall </w:t>
      </w:r>
      <w:r>
        <w:t>comply with</w:t>
      </w:r>
      <w:r w:rsidR="0024395C">
        <w:t>,</w:t>
      </w:r>
      <w:r>
        <w:t xml:space="preserve"> the following:</w:t>
      </w:r>
    </w:p>
    <w:p w14:paraId="24AE04BB" w14:textId="2C45AB2A" w:rsidR="00583D3C" w:rsidRDefault="00583D3C" w:rsidP="00B22669">
      <w:pPr>
        <w:pStyle w:val="ListParagraph"/>
        <w:numPr>
          <w:ilvl w:val="0"/>
          <w:numId w:val="12"/>
        </w:numPr>
        <w:spacing w:after="60"/>
        <w:contextualSpacing w:val="0"/>
      </w:pPr>
      <w:r>
        <w:t xml:space="preserve">CalVCB staff will conduct a minimum of one site visit to each TRC per </w:t>
      </w:r>
      <w:r w:rsidR="005D0010">
        <w:t xml:space="preserve">State </w:t>
      </w:r>
      <w:r>
        <w:t>fiscal year, and additional site visits may be scheduled if needed.  Each TRC will receive</w:t>
      </w:r>
      <w:r w:rsidR="0034701A">
        <w:t xml:space="preserve"> written</w:t>
      </w:r>
      <w:r>
        <w:t xml:space="preserve"> notice of the date and time of the scheduled visit, </w:t>
      </w:r>
      <w:r w:rsidR="0034701A">
        <w:t xml:space="preserve">along with </w:t>
      </w:r>
      <w:r w:rsidR="00917DB5">
        <w:t xml:space="preserve">a </w:t>
      </w:r>
      <w:r w:rsidR="0034701A">
        <w:t>written de</w:t>
      </w:r>
      <w:r w:rsidR="00917DB5">
        <w:t xml:space="preserve">scription </w:t>
      </w:r>
      <w:r w:rsidR="0034701A">
        <w:t>of the scope and objectives of the visit.</w:t>
      </w:r>
    </w:p>
    <w:p w14:paraId="42F83414" w14:textId="70975314" w:rsidR="00583D3C" w:rsidRDefault="00583D3C" w:rsidP="00B22669">
      <w:pPr>
        <w:pStyle w:val="ListParagraph"/>
        <w:numPr>
          <w:ilvl w:val="0"/>
          <w:numId w:val="12"/>
        </w:numPr>
        <w:spacing w:after="60"/>
        <w:contextualSpacing w:val="0"/>
      </w:pPr>
      <w:r>
        <w:t>CalVCB reserves the right to review each TRC</w:t>
      </w:r>
      <w:r w:rsidR="005D0010">
        <w:t>’</w:t>
      </w:r>
      <w:r>
        <w:t xml:space="preserve">s accounting system and </w:t>
      </w:r>
      <w:proofErr w:type="gramStart"/>
      <w:r w:rsidR="000507D4">
        <w:t>any and all</w:t>
      </w:r>
      <w:proofErr w:type="gramEnd"/>
      <w:r w:rsidR="000507D4">
        <w:t xml:space="preserve"> </w:t>
      </w:r>
      <w:r>
        <w:t>records</w:t>
      </w:r>
      <w:r w:rsidR="00071395">
        <w:t xml:space="preserve"> maintained in the support of this grant</w:t>
      </w:r>
      <w:r w:rsidR="005D0010">
        <w:t>.</w:t>
      </w:r>
    </w:p>
    <w:p w14:paraId="67FDD756" w14:textId="26C43FAB" w:rsidR="005C52C4" w:rsidRPr="00CC535B" w:rsidRDefault="00583D3C" w:rsidP="00937472">
      <w:pPr>
        <w:pStyle w:val="ListParagraph"/>
        <w:numPr>
          <w:ilvl w:val="0"/>
          <w:numId w:val="12"/>
        </w:numPr>
        <w:spacing w:after="60"/>
        <w:contextualSpacing w:val="0"/>
        <w:rPr>
          <w:rFonts w:ascii="Cambria" w:hAnsi="Cambria" w:cs="Cambria"/>
          <w:bCs/>
        </w:rPr>
      </w:pPr>
      <w:r>
        <w:t xml:space="preserve">All contracts between TRCs and </w:t>
      </w:r>
      <w:r w:rsidR="004F6CBE">
        <w:t>subcontractors</w:t>
      </w:r>
      <w:r>
        <w:t xml:space="preserve"> must be reviewed and approved by CalVCB prior to </w:t>
      </w:r>
      <w:r w:rsidR="00612A28">
        <w:t xml:space="preserve">reimbursement </w:t>
      </w:r>
      <w:r w:rsidR="002C2864">
        <w:t>of an invoice</w:t>
      </w:r>
      <w:r w:rsidR="005D1DE3">
        <w:t xml:space="preserve"> requesting reimbursement of subcontractor fees</w:t>
      </w:r>
      <w:r w:rsidR="005D0010">
        <w:t>.</w:t>
      </w:r>
    </w:p>
    <w:p w14:paraId="7BDA5791" w14:textId="07C42D06" w:rsidR="00CC535B" w:rsidRPr="00CC535B" w:rsidRDefault="00CC535B" w:rsidP="00CC535B">
      <w:pPr>
        <w:spacing w:after="60"/>
      </w:pPr>
      <w:r w:rsidRPr="00CC535B">
        <w:t xml:space="preserve">Non-compliance with the terms set forth in an executed contract </w:t>
      </w:r>
      <w:r w:rsidR="00917DB5">
        <w:t xml:space="preserve">between CalVCB and </w:t>
      </w:r>
      <w:r w:rsidRPr="00CC535B">
        <w:t xml:space="preserve">a TRC shall result in a corrective action plan and/or cancellation of the agreement. </w:t>
      </w:r>
    </w:p>
    <w:p w14:paraId="103AE4AC" w14:textId="77777777" w:rsidR="003A38CB" w:rsidRPr="006F7BE8" w:rsidRDefault="00E16D8A" w:rsidP="006F7BE8">
      <w:pPr>
        <w:pStyle w:val="Heading2"/>
      </w:pPr>
      <w:bookmarkStart w:id="19" w:name="_Toc26533596"/>
      <w:r w:rsidRPr="006F7BE8">
        <w:t>1</w:t>
      </w:r>
      <w:r w:rsidR="00954247">
        <w:t>3</w:t>
      </w:r>
      <w:r w:rsidR="003A38CB" w:rsidRPr="006F7BE8">
        <w:t>. Grant Review and Award Process</w:t>
      </w:r>
      <w:bookmarkEnd w:id="19"/>
      <w:r w:rsidR="003A38CB" w:rsidRPr="006F7BE8">
        <w:t xml:space="preserve"> </w:t>
      </w:r>
    </w:p>
    <w:p w14:paraId="35233E03" w14:textId="77777777" w:rsidR="00CC535B" w:rsidRDefault="005D0010" w:rsidP="003C053A">
      <w:pPr>
        <w:spacing w:after="60"/>
      </w:pPr>
      <w:r>
        <w:t>P</w:t>
      </w:r>
      <w:r w:rsidR="00B4094A">
        <w:t>roposals</w:t>
      </w:r>
      <w:r w:rsidR="00B4094A" w:rsidRPr="006F7BE8">
        <w:t xml:space="preserve"> </w:t>
      </w:r>
      <w:r w:rsidR="00AA688C" w:rsidRPr="006F7BE8">
        <w:t xml:space="preserve">determined to be nonresponsive to the scope of the solicitation, or that do not include </w:t>
      </w:r>
      <w:r w:rsidR="0035026D">
        <w:t>all</w:t>
      </w:r>
      <w:r w:rsidR="0035026D" w:rsidRPr="006F7BE8">
        <w:t xml:space="preserve"> </w:t>
      </w:r>
      <w:r w:rsidR="00AA688C" w:rsidRPr="006F7BE8">
        <w:t>application elements, will n</w:t>
      </w:r>
      <w:r w:rsidR="00292FAC">
        <w:t>ot</w:t>
      </w:r>
      <w:r w:rsidR="00AA688C" w:rsidRPr="006F7BE8">
        <w:t xml:space="preserve"> proceed to</w:t>
      </w:r>
      <w:r w:rsidR="00292FAC">
        <w:t xml:space="preserve"> </w:t>
      </w:r>
      <w:r w:rsidR="00715AB5">
        <w:t xml:space="preserve">the </w:t>
      </w:r>
      <w:r w:rsidR="009F26E1">
        <w:t xml:space="preserve">scoring </w:t>
      </w:r>
      <w:proofErr w:type="gramStart"/>
      <w:r w:rsidR="00715AB5">
        <w:t>process</w:t>
      </w:r>
      <w:proofErr w:type="gramEnd"/>
      <w:r w:rsidR="00292FAC">
        <w:t xml:space="preserve"> </w:t>
      </w:r>
      <w:r w:rsidR="00AA688C" w:rsidRPr="006F7BE8">
        <w:t xml:space="preserve">or receive further consideration. </w:t>
      </w:r>
      <w:r>
        <w:t>F</w:t>
      </w:r>
      <w:r w:rsidR="00AA688C" w:rsidRPr="006F7BE8">
        <w:t xml:space="preserve">ailure to submit an application that contains all elements specified </w:t>
      </w:r>
      <w:r w:rsidR="0035026D">
        <w:t>in the Application Instructions (</w:t>
      </w:r>
      <w:r w:rsidR="00015772">
        <w:t>S</w:t>
      </w:r>
      <w:r w:rsidR="0035026D">
        <w:t xml:space="preserve">ection </w:t>
      </w:r>
      <w:r w:rsidR="0058571A">
        <w:t>7</w:t>
      </w:r>
      <w:r w:rsidR="0035026D">
        <w:t>) of this NOFA</w:t>
      </w:r>
      <w:r w:rsidR="00AA688C" w:rsidRPr="006F7BE8">
        <w:t xml:space="preserve">, may negatively affect the </w:t>
      </w:r>
      <w:r>
        <w:t xml:space="preserve">application </w:t>
      </w:r>
      <w:r w:rsidR="00AA688C" w:rsidRPr="006F7BE8">
        <w:t>review.</w:t>
      </w:r>
      <w:bookmarkStart w:id="20" w:name="_Hlk54691324"/>
    </w:p>
    <w:bookmarkEnd w:id="20"/>
    <w:p w14:paraId="55AA4C65" w14:textId="51CB37CC" w:rsidR="00B16EB3" w:rsidRDefault="00791174" w:rsidP="003C053A">
      <w:pPr>
        <w:spacing w:after="60"/>
      </w:pPr>
      <w:r>
        <w:t>It should be noted that f</w:t>
      </w:r>
      <w:r w:rsidR="00EC2913">
        <w:t xml:space="preserve">ollowing the template precisely </w:t>
      </w:r>
      <w:r>
        <w:t xml:space="preserve">is designed to </w:t>
      </w:r>
      <w:r w:rsidR="00EC2913">
        <w:t xml:space="preserve">result in a higher overall score on the Grant Application. </w:t>
      </w:r>
    </w:p>
    <w:p w14:paraId="01419CF5" w14:textId="160259C7" w:rsidR="0020485E" w:rsidRDefault="0020485E" w:rsidP="003C053A">
      <w:pPr>
        <w:spacing w:after="60"/>
      </w:pPr>
      <w:r>
        <w:t xml:space="preserve">Complete applications will be scored according to the following </w:t>
      </w:r>
      <w:r w:rsidR="00000B36" w:rsidRPr="00EF449D">
        <w:rPr>
          <w:strike/>
        </w:rPr>
        <w:t>100</w:t>
      </w:r>
      <w:r w:rsidR="00EF449D">
        <w:t xml:space="preserve"> </w:t>
      </w:r>
      <w:r w:rsidR="00EF449D" w:rsidRPr="00EF449D">
        <w:rPr>
          <w:color w:val="FF0000"/>
          <w:u w:val="single"/>
        </w:rPr>
        <w:t>12</w:t>
      </w:r>
      <w:r w:rsidR="00D5102C">
        <w:rPr>
          <w:color w:val="FF0000"/>
          <w:u w:val="single"/>
        </w:rPr>
        <w:t>4</w:t>
      </w:r>
      <w:r w:rsidR="00000B36">
        <w:t>-</w:t>
      </w:r>
      <w:r>
        <w:t xml:space="preserve">point scale: </w:t>
      </w:r>
    </w:p>
    <w:p w14:paraId="2D241BF2" w14:textId="3F313166" w:rsidR="004E2F50" w:rsidRDefault="004E2F50" w:rsidP="004E2F50">
      <w:pPr>
        <w:pStyle w:val="ListParagraph"/>
        <w:numPr>
          <w:ilvl w:val="0"/>
          <w:numId w:val="13"/>
        </w:numPr>
        <w:spacing w:after="60"/>
        <w:contextualSpacing w:val="0"/>
      </w:pPr>
      <w:r>
        <w:t xml:space="preserve">Program Narrative – Up to </w:t>
      </w:r>
      <w:r w:rsidR="00E70661">
        <w:t>70</w:t>
      </w:r>
      <w:r>
        <w:t xml:space="preserve"> points </w:t>
      </w:r>
    </w:p>
    <w:p w14:paraId="5D40E28E" w14:textId="777B13B1" w:rsidR="00EF449D" w:rsidRDefault="00EF449D" w:rsidP="004E2F50">
      <w:pPr>
        <w:pStyle w:val="ListParagraph"/>
        <w:numPr>
          <w:ilvl w:val="0"/>
          <w:numId w:val="13"/>
        </w:numPr>
        <w:spacing w:after="60"/>
        <w:contextualSpacing w:val="0"/>
        <w:rPr>
          <w:color w:val="FF0000"/>
        </w:rPr>
      </w:pPr>
      <w:r w:rsidRPr="00EF449D">
        <w:rPr>
          <w:color w:val="FF0000"/>
        </w:rPr>
        <w:t>Supplemental Questions – Up to 2</w:t>
      </w:r>
      <w:r w:rsidR="0025659E">
        <w:rPr>
          <w:color w:val="FF0000"/>
        </w:rPr>
        <w:t>4</w:t>
      </w:r>
      <w:r w:rsidRPr="00EF449D">
        <w:rPr>
          <w:color w:val="FF0000"/>
        </w:rPr>
        <w:t xml:space="preserve"> po</w:t>
      </w:r>
      <w:r>
        <w:rPr>
          <w:color w:val="FF0000"/>
        </w:rPr>
        <w:t>i</w:t>
      </w:r>
      <w:r w:rsidRPr="00EF449D">
        <w:rPr>
          <w:color w:val="FF0000"/>
        </w:rPr>
        <w:t>nts</w:t>
      </w:r>
      <w:r w:rsidR="00D5102C">
        <w:rPr>
          <w:color w:val="FF0000"/>
        </w:rPr>
        <w:t xml:space="preserve"> (8 points each)</w:t>
      </w:r>
    </w:p>
    <w:p w14:paraId="1FA41F35" w14:textId="35D8D507" w:rsidR="0020485E" w:rsidRDefault="0020485E" w:rsidP="00B22669">
      <w:pPr>
        <w:pStyle w:val="ListParagraph"/>
        <w:numPr>
          <w:ilvl w:val="0"/>
          <w:numId w:val="13"/>
        </w:numPr>
        <w:spacing w:after="60"/>
        <w:contextualSpacing w:val="0"/>
      </w:pPr>
      <w:r>
        <w:t>Performance Measures Estimate Chart</w:t>
      </w:r>
      <w:r w:rsidR="004E2F50">
        <w:t>, Flow Chart,</w:t>
      </w:r>
      <w:r w:rsidR="00EC2913">
        <w:t xml:space="preserve"> Organizational Chart</w:t>
      </w:r>
      <w:r w:rsidR="004E2F50">
        <w:t xml:space="preserve"> and Time Task Plan</w:t>
      </w:r>
      <w:r>
        <w:t xml:space="preserve"> – Up to </w:t>
      </w:r>
      <w:r w:rsidR="00E70661">
        <w:t>5</w:t>
      </w:r>
      <w:r w:rsidR="00676070">
        <w:t xml:space="preserve"> </w:t>
      </w:r>
      <w:r>
        <w:t>points</w:t>
      </w:r>
    </w:p>
    <w:p w14:paraId="318D2EC5" w14:textId="7D62E7EA" w:rsidR="00B40ACF" w:rsidRDefault="0020485E" w:rsidP="00B22669">
      <w:pPr>
        <w:pStyle w:val="ListParagraph"/>
        <w:numPr>
          <w:ilvl w:val="0"/>
          <w:numId w:val="13"/>
        </w:numPr>
        <w:spacing w:after="60"/>
        <w:contextualSpacing w:val="0"/>
      </w:pPr>
      <w:r>
        <w:t>Budget</w:t>
      </w:r>
      <w:r w:rsidR="00B40ACF">
        <w:t xml:space="preserve"> – Up to 10 points</w:t>
      </w:r>
    </w:p>
    <w:p w14:paraId="2909FCB7" w14:textId="0472193A" w:rsidR="0020485E" w:rsidRDefault="0020485E" w:rsidP="00B22669">
      <w:pPr>
        <w:pStyle w:val="ListParagraph"/>
        <w:numPr>
          <w:ilvl w:val="0"/>
          <w:numId w:val="13"/>
        </w:numPr>
        <w:spacing w:after="60"/>
        <w:contextualSpacing w:val="0"/>
      </w:pPr>
      <w:r>
        <w:t xml:space="preserve">Budget Narrative – Up to 10 points </w:t>
      </w:r>
    </w:p>
    <w:p w14:paraId="7F30BFBC" w14:textId="77777777" w:rsidR="0020485E" w:rsidRDefault="0020485E" w:rsidP="00B22669">
      <w:pPr>
        <w:pStyle w:val="ListParagraph"/>
        <w:numPr>
          <w:ilvl w:val="0"/>
          <w:numId w:val="13"/>
        </w:numPr>
        <w:spacing w:after="60"/>
        <w:contextualSpacing w:val="0"/>
      </w:pPr>
      <w:r>
        <w:t xml:space="preserve">Letters of Support – Up to 5 points </w:t>
      </w:r>
    </w:p>
    <w:p w14:paraId="553B9536" w14:textId="6D372502" w:rsidR="006A7B12" w:rsidRDefault="006A7B12" w:rsidP="009F26E1">
      <w:pPr>
        <w:spacing w:after="60"/>
      </w:pPr>
    </w:p>
    <w:p w14:paraId="224B988A" w14:textId="408F8F8E" w:rsidR="006A7B12" w:rsidRDefault="006A7B12" w:rsidP="009F26E1">
      <w:pPr>
        <w:spacing w:after="60"/>
      </w:pPr>
      <w:r>
        <w:t xml:space="preserve">To be considered for funding, the application must: </w:t>
      </w:r>
    </w:p>
    <w:p w14:paraId="4A05AA43" w14:textId="3DAB22D3" w:rsidR="006A7B12" w:rsidRDefault="006A7B12" w:rsidP="006A7B12">
      <w:pPr>
        <w:pStyle w:val="ListParagraph"/>
        <w:numPr>
          <w:ilvl w:val="0"/>
          <w:numId w:val="19"/>
        </w:numPr>
        <w:spacing w:after="60"/>
      </w:pPr>
      <w:r>
        <w:t xml:space="preserve">Score a minimum of </w:t>
      </w:r>
      <w:r w:rsidR="003B6B94">
        <w:t>93</w:t>
      </w:r>
      <w:r>
        <w:t xml:space="preserve"> points</w:t>
      </w:r>
    </w:p>
    <w:p w14:paraId="6EB78CDA" w14:textId="7793B90E" w:rsidR="006A7B12" w:rsidRPr="00BE21AD" w:rsidRDefault="00056E43" w:rsidP="006A7B12">
      <w:pPr>
        <w:pStyle w:val="ListParagraph"/>
        <w:numPr>
          <w:ilvl w:val="0"/>
          <w:numId w:val="19"/>
        </w:numPr>
        <w:spacing w:after="60"/>
      </w:pPr>
      <w:r>
        <w:lastRenderedPageBreak/>
        <w:t>D</w:t>
      </w:r>
      <w:r w:rsidR="006A7B12">
        <w:t>emonstrate</w:t>
      </w:r>
      <w:r w:rsidR="009A3CBF">
        <w:t xml:space="preserve"> the ability to fulfill all statutory requirements set forth by</w:t>
      </w:r>
      <w:r w:rsidR="009A3CBF" w:rsidRPr="009A3CBF">
        <w:t xml:space="preserve"> </w:t>
      </w:r>
      <w:r w:rsidR="009A3CBF">
        <w:t>Government Code sections 13963.1 and 13963.2</w:t>
      </w:r>
    </w:p>
    <w:p w14:paraId="2FCB3211" w14:textId="6D8FC8EB" w:rsidR="00222A34" w:rsidRDefault="003A38CB" w:rsidP="009F26E1">
      <w:pPr>
        <w:spacing w:after="60"/>
      </w:pPr>
      <w:r w:rsidRPr="00B35AD1">
        <w:t xml:space="preserve">All </w:t>
      </w:r>
      <w:r w:rsidR="007D3C30" w:rsidRPr="00B35AD1">
        <w:t xml:space="preserve">applicants </w:t>
      </w:r>
      <w:r w:rsidRPr="00B35AD1">
        <w:t xml:space="preserve">awarded funding will be required to enter into a standard Grant Agreement with </w:t>
      </w:r>
      <w:r w:rsidR="00CA30C7">
        <w:t>CalVCB</w:t>
      </w:r>
      <w:r w:rsidRPr="00B35AD1">
        <w:t xml:space="preserve">. </w:t>
      </w:r>
      <w:r w:rsidR="00A334BA" w:rsidRPr="00B35AD1">
        <w:t xml:space="preserve">If, for any reason, </w:t>
      </w:r>
      <w:r w:rsidR="0080160C" w:rsidRPr="00B35AD1">
        <w:t xml:space="preserve">a </w:t>
      </w:r>
      <w:r w:rsidR="006F7525">
        <w:t>grantee</w:t>
      </w:r>
      <w:r w:rsidR="0080160C" w:rsidRPr="00B35AD1">
        <w:t xml:space="preserve"> is unable to enter into a Grant Agreement with </w:t>
      </w:r>
      <w:r w:rsidR="00CA30C7">
        <w:t>CalVCB</w:t>
      </w:r>
      <w:r w:rsidR="0080160C" w:rsidRPr="00B35AD1">
        <w:t xml:space="preserve"> by </w:t>
      </w:r>
      <w:r w:rsidR="00222A34" w:rsidRPr="00B35AD1">
        <w:t xml:space="preserve">July 1, </w:t>
      </w:r>
      <w:r w:rsidR="00E702BF" w:rsidRPr="00B35AD1">
        <w:t>20</w:t>
      </w:r>
      <w:r w:rsidR="00277CED">
        <w:t>2</w:t>
      </w:r>
      <w:r w:rsidR="00EC2913">
        <w:t>1</w:t>
      </w:r>
      <w:r w:rsidR="0080160C" w:rsidRPr="00B35AD1">
        <w:t xml:space="preserve">, the term </w:t>
      </w:r>
      <w:r w:rsidR="00C10FC9" w:rsidRPr="00B35AD1">
        <w:t xml:space="preserve">of the grant will be less than 24 months and the grant </w:t>
      </w:r>
      <w:r w:rsidR="008C5495" w:rsidRPr="008C5495">
        <w:t>term will</w:t>
      </w:r>
      <w:r w:rsidR="00106652">
        <w:t xml:space="preserve"> still</w:t>
      </w:r>
      <w:r w:rsidR="008C5495" w:rsidRPr="008C5495">
        <w:t xml:space="preserve"> end</w:t>
      </w:r>
      <w:r w:rsidR="00C10FC9" w:rsidRPr="00B35AD1">
        <w:t xml:space="preserve"> </w:t>
      </w:r>
      <w:r w:rsidR="00106652">
        <w:t xml:space="preserve">on </w:t>
      </w:r>
      <w:r w:rsidR="00C10FC9" w:rsidRPr="00B35AD1">
        <w:t xml:space="preserve">June 30, </w:t>
      </w:r>
      <w:r w:rsidR="00E702BF" w:rsidRPr="00B35AD1">
        <w:t>20</w:t>
      </w:r>
      <w:r w:rsidR="00E702BF">
        <w:t>2</w:t>
      </w:r>
      <w:r w:rsidR="00EC2913">
        <w:t>3</w:t>
      </w:r>
      <w:r w:rsidR="00C10FC9" w:rsidRPr="00B35AD1">
        <w:t xml:space="preserve">. </w:t>
      </w:r>
      <w:r w:rsidR="007D3C30" w:rsidRPr="00B35AD1">
        <w:t xml:space="preserve">Applicants awarded funding are not guaranteed continued funding and </w:t>
      </w:r>
      <w:r w:rsidR="005C23AF" w:rsidRPr="00B35AD1">
        <w:t>may</w:t>
      </w:r>
      <w:r w:rsidR="007D3C30" w:rsidRPr="00B35AD1">
        <w:t xml:space="preserve"> reapply at the end of the </w:t>
      </w:r>
      <w:r w:rsidR="007D3C30">
        <w:t>24-month grant award cycle.</w:t>
      </w:r>
    </w:p>
    <w:p w14:paraId="3536A227" w14:textId="338CF86E" w:rsidR="00C83883" w:rsidRDefault="00C83883" w:rsidP="009F26E1">
      <w:pPr>
        <w:spacing w:after="60"/>
      </w:pPr>
      <w:r w:rsidRPr="00C83883">
        <w:t xml:space="preserve">Upon award of the grant, the </w:t>
      </w:r>
      <w:r w:rsidR="00B04371">
        <w:t>grant</w:t>
      </w:r>
      <w:r w:rsidRPr="00C83883">
        <w:t>ee must provide completed copies of the documents listed below. Failure to supply these documents will result in a delay of release of funds</w:t>
      </w:r>
      <w:r w:rsidR="00106652">
        <w:t xml:space="preserve"> or cancellation of the Grant Agreement</w:t>
      </w:r>
      <w:r w:rsidRPr="00C83883">
        <w:t>.</w:t>
      </w:r>
    </w:p>
    <w:p w14:paraId="1B03CF55" w14:textId="0A4E93AE" w:rsidR="00C83883" w:rsidRDefault="00C83883" w:rsidP="00B22669">
      <w:pPr>
        <w:pStyle w:val="ListParagraph"/>
        <w:numPr>
          <w:ilvl w:val="0"/>
          <w:numId w:val="15"/>
        </w:numPr>
        <w:spacing w:after="60"/>
      </w:pPr>
      <w:r>
        <w:t xml:space="preserve">Payee Data Record: The Payee Data Record form STD. 204 is available on the DGS website at:  </w:t>
      </w:r>
      <w:hyperlink r:id="rId15" w:history="1">
        <w:r>
          <w:rPr>
            <w:rStyle w:val="Hyperlink"/>
          </w:rPr>
          <w:t>http://www.documents.dgs.ca.gov/osp/pdf/std204.pdf</w:t>
        </w:r>
      </w:hyperlink>
    </w:p>
    <w:p w14:paraId="03842599" w14:textId="69877364" w:rsidR="00C83883" w:rsidRDefault="00C83883" w:rsidP="00B22669">
      <w:pPr>
        <w:pStyle w:val="ListParagraph"/>
        <w:numPr>
          <w:ilvl w:val="0"/>
          <w:numId w:val="15"/>
        </w:numPr>
        <w:spacing w:after="60"/>
      </w:pPr>
      <w:r>
        <w:t xml:space="preserve">Contractor Certification Clauses 307 (CCC-307): The CCC-307 </w:t>
      </w:r>
      <w:r w:rsidRPr="00C83883">
        <w:t>is available on the DGS website under the Standard Contract Language Section at:</w:t>
      </w:r>
      <w:r>
        <w:t xml:space="preserve"> </w:t>
      </w:r>
      <w:hyperlink r:id="rId16" w:history="1">
        <w:r w:rsidRPr="00C83883">
          <w:rPr>
            <w:rStyle w:val="Hyperlink"/>
          </w:rPr>
          <w:t>http://www.dgs.ca.gov/Default.aspx?alias=www.dgs.ca.gov/ols</w:t>
        </w:r>
      </w:hyperlink>
    </w:p>
    <w:p w14:paraId="214C7258" w14:textId="77777777" w:rsidR="003A38CB" w:rsidRPr="006F7BE8" w:rsidRDefault="007040E2" w:rsidP="006F7BE8">
      <w:pPr>
        <w:pStyle w:val="Heading2"/>
      </w:pPr>
      <w:bookmarkStart w:id="21" w:name="_Toc26533597"/>
      <w:r w:rsidRPr="006F7BE8">
        <w:t>1</w:t>
      </w:r>
      <w:r w:rsidR="00954247">
        <w:t>4</w:t>
      </w:r>
      <w:r w:rsidR="003A38CB" w:rsidRPr="006F7BE8">
        <w:t>. General Terms and Conditions</w:t>
      </w:r>
      <w:bookmarkEnd w:id="21"/>
      <w:r w:rsidR="003A38CB" w:rsidRPr="006F7BE8">
        <w:t xml:space="preserve"> </w:t>
      </w:r>
    </w:p>
    <w:p w14:paraId="0CCB6E57" w14:textId="1DC06A25" w:rsidR="005C52C4" w:rsidRPr="006F7BE8" w:rsidRDefault="0067211B" w:rsidP="003C053A">
      <w:pPr>
        <w:spacing w:after="60"/>
      </w:pPr>
      <w:r>
        <w:t xml:space="preserve">All applications shall become the property of </w:t>
      </w:r>
      <w:r w:rsidR="00CA30C7">
        <w:t>CalVCB</w:t>
      </w:r>
      <w:r w:rsidR="003A38CB" w:rsidRPr="006F7BE8">
        <w:t xml:space="preserve">. </w:t>
      </w:r>
      <w:r w:rsidR="007F22D0">
        <w:t xml:space="preserve">All </w:t>
      </w:r>
      <w:r w:rsidR="00467D3C">
        <w:t xml:space="preserve">submitted </w:t>
      </w:r>
      <w:r w:rsidR="007F22D0">
        <w:t xml:space="preserve">applications </w:t>
      </w:r>
      <w:r w:rsidR="00467D3C">
        <w:t>are</w:t>
      </w:r>
      <w:r w:rsidR="004F6CBE">
        <w:t xml:space="preserve"> public record, subject to disclosure under the California Public Records Act. </w:t>
      </w:r>
      <w:r w:rsidR="007F22D0" w:rsidRPr="006F7BE8" w:rsidDel="007F22D0">
        <w:t xml:space="preserve"> </w:t>
      </w:r>
    </w:p>
    <w:p w14:paraId="7354C74F" w14:textId="79B4C376" w:rsidR="005C52C4" w:rsidRPr="006F7BE8" w:rsidRDefault="00CA30C7" w:rsidP="003C053A">
      <w:pPr>
        <w:spacing w:after="60"/>
      </w:pPr>
      <w:r>
        <w:t>CalVCB</w:t>
      </w:r>
      <w:r w:rsidR="003A38CB" w:rsidRPr="006F7BE8">
        <w:t xml:space="preserve"> reserves the right to withdraw this NOFA at any time. Further, </w:t>
      </w:r>
      <w:r>
        <w:t>CalVCB</w:t>
      </w:r>
      <w:r w:rsidR="003A38CB" w:rsidRPr="006F7BE8">
        <w:t xml:space="preserve"> makes no representation that any funding will be awarded to any applicant responding to this NOFA. </w:t>
      </w:r>
    </w:p>
    <w:p w14:paraId="166F1B63" w14:textId="50D1CA29" w:rsidR="005C52C4" w:rsidRDefault="003A38CB" w:rsidP="003C053A">
      <w:pPr>
        <w:spacing w:after="60"/>
      </w:pPr>
      <w:r w:rsidRPr="006F7BE8">
        <w:t xml:space="preserve">Acceptance of an application does not constitute a grant award and does not obligate </w:t>
      </w:r>
      <w:r w:rsidR="00CA30C7">
        <w:t>CalVCB</w:t>
      </w:r>
      <w:r w:rsidRPr="006F7BE8">
        <w:t xml:space="preserve"> to award funds. </w:t>
      </w:r>
      <w:r w:rsidR="00CA30C7">
        <w:t>CalVCB</w:t>
      </w:r>
      <w:r w:rsidRPr="00BE21AD">
        <w:t xml:space="preserve"> reserves the right to partially fund selected applications. </w:t>
      </w:r>
      <w:r w:rsidR="0067211B">
        <w:t>An</w:t>
      </w:r>
      <w:r w:rsidR="0067211B" w:rsidRPr="00BE21AD">
        <w:t xml:space="preserve"> </w:t>
      </w:r>
      <w:r w:rsidRPr="00BE21AD">
        <w:t>applicant may request a specific dollar</w:t>
      </w:r>
      <w:r w:rsidR="00DD44DD">
        <w:t xml:space="preserve"> amount</w:t>
      </w:r>
      <w:r w:rsidRPr="00BE21AD">
        <w:t xml:space="preserve">; however, </w:t>
      </w:r>
      <w:r w:rsidR="00CA30C7">
        <w:t>CalVCB</w:t>
      </w:r>
      <w:r w:rsidRPr="00BE21AD">
        <w:t xml:space="preserve"> will make the final determination of the dollar amounts awarded. </w:t>
      </w:r>
      <w:r w:rsidR="00432D89" w:rsidRPr="00BE21AD">
        <w:t xml:space="preserve">Any portion of a grant that a TRC does not use within the specified grant period </w:t>
      </w:r>
      <w:r w:rsidR="00432D89" w:rsidRPr="00EF4656">
        <w:t>shall revert to</w:t>
      </w:r>
      <w:r w:rsidR="00F76414">
        <w:t xml:space="preserve"> </w:t>
      </w:r>
      <w:r w:rsidR="004F6CBE">
        <w:t xml:space="preserve">the </w:t>
      </w:r>
      <w:r w:rsidR="004F6CBE" w:rsidRPr="00EF4656">
        <w:t>funding</w:t>
      </w:r>
      <w:r w:rsidR="004F6CBE">
        <w:t xml:space="preserve"> source</w:t>
      </w:r>
      <w:r w:rsidR="00432D89" w:rsidRPr="00EF4656">
        <w:t xml:space="preserve">. </w:t>
      </w:r>
    </w:p>
    <w:p w14:paraId="3F7A57D7" w14:textId="4A4AC3A1" w:rsidR="0096504D" w:rsidRDefault="0096504D" w:rsidP="003C053A">
      <w:pPr>
        <w:pStyle w:val="ListParagraph"/>
        <w:spacing w:after="60"/>
        <w:ind w:left="0"/>
        <w:contextualSpacing w:val="0"/>
      </w:pPr>
      <w:r w:rsidRPr="00EF4656">
        <w:t xml:space="preserve">Both parties reserve </w:t>
      </w:r>
      <w:r w:rsidRPr="00BE21AD">
        <w:t>the right to terminate the Grant Agreement upon thirty (30) days written notice to the other</w:t>
      </w:r>
      <w:r w:rsidR="0069676B">
        <w:t xml:space="preserve"> party</w:t>
      </w:r>
      <w:r w:rsidRPr="00BE21AD">
        <w:t>.</w:t>
      </w:r>
      <w:r>
        <w:t xml:space="preserve"> CalVCB may reduce or terminate grant funds for reasons that may include, but </w:t>
      </w:r>
      <w:r w:rsidR="00BC747D">
        <w:t xml:space="preserve">are </w:t>
      </w:r>
      <w:r>
        <w:t xml:space="preserve">not limited to, the following: </w:t>
      </w:r>
    </w:p>
    <w:p w14:paraId="5388B9C2" w14:textId="17B178DE" w:rsidR="0096504D" w:rsidRDefault="0096504D" w:rsidP="00B22669">
      <w:pPr>
        <w:pStyle w:val="ListParagraph"/>
        <w:numPr>
          <w:ilvl w:val="0"/>
          <w:numId w:val="14"/>
        </w:numPr>
        <w:spacing w:after="60"/>
        <w:ind w:left="720"/>
        <w:contextualSpacing w:val="0"/>
      </w:pPr>
      <w:r>
        <w:t xml:space="preserve">If the project fails to comply with any term or condition of the grant award </w:t>
      </w:r>
    </w:p>
    <w:p w14:paraId="3F4B1B79" w14:textId="74A3BCA5" w:rsidR="00467D3C" w:rsidRDefault="0096504D" w:rsidP="00B22669">
      <w:pPr>
        <w:pStyle w:val="ListParagraph"/>
        <w:numPr>
          <w:ilvl w:val="0"/>
          <w:numId w:val="14"/>
        </w:numPr>
        <w:spacing w:after="60"/>
        <w:ind w:left="720"/>
        <w:contextualSpacing w:val="0"/>
      </w:pPr>
      <w:r>
        <w:t>If during the term of the grant award, the state funds appropriated for the purposes of the grant award are reduced or eliminated, or, in the event revenues are not collected at the level appropriated, CalVCB may immediately termi</w:t>
      </w:r>
      <w:r w:rsidR="00467D3C">
        <w:t xml:space="preserve">nate or reduce the </w:t>
      </w:r>
      <w:r w:rsidR="00467D3C" w:rsidRPr="00130221">
        <w:t>grant award</w:t>
      </w:r>
      <w:r w:rsidR="00C81348" w:rsidRPr="00130221">
        <w:t>.</w:t>
      </w:r>
    </w:p>
    <w:p w14:paraId="3F69BC2F" w14:textId="1A02E375" w:rsidR="0096504D" w:rsidRDefault="0096504D" w:rsidP="00467D3C">
      <w:pPr>
        <w:spacing w:after="60"/>
      </w:pPr>
      <w:r>
        <w:t>Should CalVCB</w:t>
      </w:r>
      <w:r w:rsidRPr="00467D3C">
        <w:rPr>
          <w:color w:val="FF0000"/>
        </w:rPr>
        <w:t xml:space="preserve"> </w:t>
      </w:r>
      <w:r>
        <w:t xml:space="preserve">deem it necessary to reduce or terminate grant funds, the </w:t>
      </w:r>
      <w:r w:rsidR="006F7525">
        <w:t>grantee</w:t>
      </w:r>
      <w:r>
        <w:t xml:space="preserve"> shall be notified </w:t>
      </w:r>
      <w:r w:rsidR="00BC747D">
        <w:t>in writing</w:t>
      </w:r>
      <w:r>
        <w:t xml:space="preserve">. No such termination or reduction shall apply to allowable costs already incurred by the </w:t>
      </w:r>
      <w:r w:rsidR="006F7525">
        <w:t>grantee</w:t>
      </w:r>
      <w:r>
        <w:t xml:space="preserve"> to the extent that state funds are avai</w:t>
      </w:r>
      <w:r w:rsidR="00467D3C">
        <w:t>lable for payment of such costs</w:t>
      </w:r>
      <w:r w:rsidR="00106652">
        <w:t xml:space="preserve"> up to and including the date of the notice</w:t>
      </w:r>
      <w:r w:rsidR="00467D3C">
        <w:t>.</w:t>
      </w:r>
      <w:r w:rsidR="003C2C8F">
        <w:t xml:space="preserve"> </w:t>
      </w:r>
      <w:r w:rsidR="003C2C8F" w:rsidRPr="00BE21AD">
        <w:t xml:space="preserve">The </w:t>
      </w:r>
      <w:r w:rsidR="006F7525">
        <w:t>grantee</w:t>
      </w:r>
      <w:r w:rsidR="006F7525" w:rsidRPr="00BE21AD">
        <w:t xml:space="preserve"> </w:t>
      </w:r>
      <w:r w:rsidR="003C2C8F" w:rsidRPr="00BE21AD">
        <w:t xml:space="preserve">shall be reimbursed all reasonable expenses incurred </w:t>
      </w:r>
      <w:r w:rsidR="003C2C8F">
        <w:t xml:space="preserve">per the approved budget </w:t>
      </w:r>
      <w:r w:rsidR="003C2C8F" w:rsidRPr="00BE21AD">
        <w:t>up to the date of termination.</w:t>
      </w:r>
    </w:p>
    <w:p w14:paraId="56653F00" w14:textId="77777777" w:rsidR="00B446E5" w:rsidRDefault="00576E11" w:rsidP="003C053A">
      <w:pPr>
        <w:spacing w:after="60"/>
      </w:pPr>
      <w:r w:rsidRPr="00576E11">
        <w:lastRenderedPageBreak/>
        <w:t>Grant funds must be used to increase the total amount of funds used to provide services to victims of crime and may not be used to supplant current sources of funding that would, in the absence of these grant funds, be available or forthcoming. In addition, grant funds may not be used to defray any costs that the grantee was already obligated to pay at the time the grant was awarded. To prevent the supplanting of grant funds, CalVCB will carefully review all applications, and will conduct post-award monitoring and auditing of any funding and expenditures. Any supplantation of existing funding with these grant funds constitutes grounds for suspension or termination of grant funding and recovery of funds already provided.</w:t>
      </w:r>
    </w:p>
    <w:p w14:paraId="052EBA5F" w14:textId="41EF0158" w:rsidR="002618AD" w:rsidRPr="00576E11" w:rsidRDefault="002618AD" w:rsidP="003C053A">
      <w:r>
        <w:t xml:space="preserve">A </w:t>
      </w:r>
      <w:r w:rsidR="006F7525">
        <w:t>grantee</w:t>
      </w:r>
      <w:r w:rsidRPr="004C4974">
        <w:t xml:space="preserve"> </w:t>
      </w:r>
      <w:r>
        <w:t>is</w:t>
      </w:r>
      <w:r w:rsidRPr="004C4974">
        <w:t xml:space="preserve"> not guaranteed continued funding and may </w:t>
      </w:r>
      <w:r w:rsidRPr="00C2448F">
        <w:t xml:space="preserve">apply for a consecutive </w:t>
      </w:r>
      <w:r w:rsidRPr="00BE21AD">
        <w:t>grant to prevent a lapse in funding.</w:t>
      </w:r>
      <w:r w:rsidR="00801307">
        <w:t xml:space="preserve"> CalVCB </w:t>
      </w:r>
      <w:r w:rsidR="00801307" w:rsidRPr="00801307">
        <w:t>reserves the right to deny future funding to any project and its officers based on its failure to comply with any term or condition of a current or previous grant award, poor past performance in a previous grant award, or failure to cooperate with state auditors/monitors.</w:t>
      </w:r>
    </w:p>
    <w:p w14:paraId="6CB07A0B" w14:textId="77777777" w:rsidR="00CF3B6A" w:rsidRPr="006F7BE8" w:rsidRDefault="00CF3B6A" w:rsidP="00CF3B6A">
      <w:pPr>
        <w:pStyle w:val="Heading2"/>
      </w:pPr>
      <w:bookmarkStart w:id="22" w:name="_Toc26533598"/>
      <w:r w:rsidRPr="006F7BE8">
        <w:t>1</w:t>
      </w:r>
      <w:r w:rsidR="00954247">
        <w:t>5</w:t>
      </w:r>
      <w:r w:rsidRPr="006F7BE8">
        <w:t xml:space="preserve">. </w:t>
      </w:r>
      <w:r w:rsidRPr="00CF3B6A">
        <w:t>Conflict of Interest</w:t>
      </w:r>
      <w:bookmarkEnd w:id="22"/>
      <w:r w:rsidRPr="006F7BE8">
        <w:t xml:space="preserve"> </w:t>
      </w:r>
    </w:p>
    <w:p w14:paraId="4946E64A" w14:textId="2EDC899E" w:rsidR="00CF3B6A" w:rsidRPr="006F7BE8" w:rsidRDefault="00576E11" w:rsidP="003C053A">
      <w:bookmarkStart w:id="23" w:name="_Hlk534290591"/>
      <w:r w:rsidRPr="00576E11">
        <w:rPr>
          <w:shd w:val="clear" w:color="auto" w:fill="FFFFFF"/>
        </w:rPr>
        <w:t xml:space="preserve">The </w:t>
      </w:r>
      <w:r w:rsidR="004C72F3">
        <w:rPr>
          <w:shd w:val="clear" w:color="auto" w:fill="FFFFFF"/>
        </w:rPr>
        <w:t xml:space="preserve">grantee </w:t>
      </w:r>
      <w:r w:rsidR="00106652">
        <w:rPr>
          <w:shd w:val="clear" w:color="auto" w:fill="FFFFFF"/>
        </w:rPr>
        <w:t>shall not</w:t>
      </w:r>
      <w:r w:rsidRPr="00576E11">
        <w:rPr>
          <w:shd w:val="clear" w:color="auto" w:fill="FFFFFF"/>
        </w:rPr>
        <w:t xml:space="preserve"> engage in any activity that causes a potential or actual conflict of interest. In the event a potential or actual conflict arises </w:t>
      </w:r>
      <w:r w:rsidR="00E702BF" w:rsidRPr="00576E11">
        <w:rPr>
          <w:shd w:val="clear" w:color="auto" w:fill="FFFFFF"/>
        </w:rPr>
        <w:t>because of</w:t>
      </w:r>
      <w:r w:rsidRPr="00576E11">
        <w:rPr>
          <w:shd w:val="clear" w:color="auto" w:fill="FFFFFF"/>
        </w:rPr>
        <w:t xml:space="preserve"> the grantee’s participation in, or intent to participate in any activities outside of those found in </w:t>
      </w:r>
      <w:r w:rsidR="00392040">
        <w:rPr>
          <w:shd w:val="clear" w:color="auto" w:fill="FFFFFF"/>
        </w:rPr>
        <w:t>Attachment A</w:t>
      </w:r>
      <w:r w:rsidRPr="00576E11">
        <w:rPr>
          <w:shd w:val="clear" w:color="auto" w:fill="FFFFFF"/>
        </w:rPr>
        <w:t xml:space="preserve">, the grantee shall immediately notify CalVCB and may not commence such other activities without first obtaining written approval to do so from CalVCB. If, in the reasonable judgment of CalVCB, a conflict of interest exists, CalVCB may terminate the grant agreement </w:t>
      </w:r>
      <w:r w:rsidR="00C83883">
        <w:t>immediately by sending written notice to the grantee. Termination of the grant agreement shall be effective upon receipt of the written notice.</w:t>
      </w:r>
      <w:bookmarkEnd w:id="23"/>
    </w:p>
    <w:p w14:paraId="03A2683A" w14:textId="760A5EC0" w:rsidR="00C83883" w:rsidRPr="006F7BE8" w:rsidRDefault="00C83883" w:rsidP="00C83883">
      <w:pPr>
        <w:pStyle w:val="Heading2"/>
      </w:pPr>
      <w:bookmarkStart w:id="24" w:name="_Toc26533599"/>
      <w:r w:rsidRPr="006F7BE8">
        <w:t>1</w:t>
      </w:r>
      <w:r>
        <w:t>6</w:t>
      </w:r>
      <w:r w:rsidRPr="006F7BE8">
        <w:t xml:space="preserve">. </w:t>
      </w:r>
      <w:r w:rsidRPr="00C83883">
        <w:t>Confidentiality</w:t>
      </w:r>
      <w:bookmarkEnd w:id="24"/>
      <w:r w:rsidRPr="006F7BE8">
        <w:t xml:space="preserve"> </w:t>
      </w:r>
    </w:p>
    <w:p w14:paraId="088529ED" w14:textId="1F71DEEC" w:rsidR="00C83883" w:rsidRPr="006F7BE8" w:rsidRDefault="00C83883" w:rsidP="00C83883">
      <w:r w:rsidRPr="00C83883">
        <w:t xml:space="preserve">The </w:t>
      </w:r>
      <w:r>
        <w:t>grantee</w:t>
      </w:r>
      <w:r w:rsidRPr="00C83883">
        <w:t xml:space="preserve"> agrees not to disclose </w:t>
      </w:r>
      <w:r w:rsidR="00CF5F78">
        <w:t>CalVCB</w:t>
      </w:r>
      <w:r w:rsidR="00CF5F78" w:rsidRPr="00C83883">
        <w:t xml:space="preserve"> </w:t>
      </w:r>
      <w:r w:rsidRPr="00C83883">
        <w:t xml:space="preserve">information, and to </w:t>
      </w:r>
      <w:proofErr w:type="gramStart"/>
      <w:r w:rsidRPr="00C83883">
        <w:t xml:space="preserve">observe and protect the confidentiality of </w:t>
      </w:r>
      <w:r w:rsidR="00CF5F78">
        <w:t>CalVCB’s</w:t>
      </w:r>
      <w:r w:rsidR="00DD44DD">
        <w:t xml:space="preserve"> </w:t>
      </w:r>
      <w:r w:rsidRPr="00C83883">
        <w:t>information to the fullest extent</w:t>
      </w:r>
      <w:proofErr w:type="gramEnd"/>
      <w:r w:rsidRPr="00C83883">
        <w:t xml:space="preserve"> pursuant to California Public Records Act (Gov</w:t>
      </w:r>
      <w:r w:rsidR="00CF5F78">
        <w:t>ernment</w:t>
      </w:r>
      <w:r w:rsidRPr="00C83883">
        <w:t xml:space="preserve"> Code, </w:t>
      </w:r>
      <w:r w:rsidR="000D25BF" w:rsidRPr="00C83883">
        <w:t>§</w:t>
      </w:r>
      <w:r w:rsidRPr="00C83883">
        <w:t xml:space="preserve"> 6250</w:t>
      </w:r>
      <w:r w:rsidR="000D25BF">
        <w:t>,</w:t>
      </w:r>
      <w:r w:rsidRPr="00C83883">
        <w:t xml:space="preserve"> et seq.), the Information Practices Act (Civ</w:t>
      </w:r>
      <w:r w:rsidR="00CF5F78">
        <w:t>il</w:t>
      </w:r>
      <w:r w:rsidRPr="00C83883">
        <w:t xml:space="preserve"> Code, §</w:t>
      </w:r>
      <w:r w:rsidR="000D25BF" w:rsidRPr="00C83883">
        <w:t>§</w:t>
      </w:r>
      <w:r w:rsidRPr="00C83883">
        <w:t xml:space="preserve"> 1798</w:t>
      </w:r>
      <w:r w:rsidR="000D25BF">
        <w:t>,</w:t>
      </w:r>
      <w:r w:rsidRPr="00C83883">
        <w:t xml:space="preserve"> et seq.), and the confidentiality provisions of the California Victim Compensation Program including, but not limited to, Government Code section 13954.</w:t>
      </w:r>
      <w:r w:rsidRPr="006F7BE8">
        <w:t xml:space="preserve"> </w:t>
      </w:r>
    </w:p>
    <w:p w14:paraId="18420C23" w14:textId="310C114B" w:rsidR="003A38CB" w:rsidRPr="00EB044B" w:rsidRDefault="00C83883" w:rsidP="006F7BE8">
      <w:pPr>
        <w:pStyle w:val="Heading2"/>
      </w:pPr>
      <w:bookmarkStart w:id="25" w:name="_Toc26533600"/>
      <w:r w:rsidRPr="00EB044B">
        <w:t>1</w:t>
      </w:r>
      <w:r w:rsidR="00392040">
        <w:t>7</w:t>
      </w:r>
      <w:r w:rsidR="003A38CB" w:rsidRPr="00EB044B">
        <w:t>. Process for Payment</w:t>
      </w:r>
      <w:bookmarkEnd w:id="25"/>
      <w:r w:rsidR="003A38CB" w:rsidRPr="00EB044B">
        <w:t xml:space="preserve"> </w:t>
      </w:r>
    </w:p>
    <w:p w14:paraId="7DC7084F" w14:textId="03846F84" w:rsidR="00043414" w:rsidRPr="007E3645" w:rsidRDefault="003A38CB" w:rsidP="00DD44DD">
      <w:pPr>
        <w:spacing w:after="60"/>
      </w:pPr>
      <w:r w:rsidRPr="006F7BE8">
        <w:t xml:space="preserve">Funds will be released </w:t>
      </w:r>
      <w:bookmarkStart w:id="26" w:name="_Hlk54691993"/>
      <w:r w:rsidR="004C72F3" w:rsidRPr="006F7BE8">
        <w:t>retrospectively on a quarterly</w:t>
      </w:r>
      <w:r w:rsidR="004C72F3">
        <w:t xml:space="preserve"> or monthly</w:t>
      </w:r>
      <w:r w:rsidR="004C72F3" w:rsidRPr="006F7BE8">
        <w:t xml:space="preserve"> </w:t>
      </w:r>
      <w:bookmarkEnd w:id="26"/>
      <w:r w:rsidRPr="006F7BE8">
        <w:t>basis</w:t>
      </w:r>
      <w:r w:rsidR="004C72F3">
        <w:t>, as indicated in the executed contract,</w:t>
      </w:r>
      <w:r w:rsidRPr="006F7BE8">
        <w:t xml:space="preserve"> upon receipt </w:t>
      </w:r>
      <w:r w:rsidR="00000B36">
        <w:t xml:space="preserve">and approval </w:t>
      </w:r>
      <w:r w:rsidRPr="006F7BE8">
        <w:t xml:space="preserve">of </w:t>
      </w:r>
      <w:r w:rsidR="00AA688C" w:rsidRPr="006F7BE8">
        <w:t xml:space="preserve">invoices </w:t>
      </w:r>
      <w:r w:rsidR="00E937B8" w:rsidRPr="00721668">
        <w:t xml:space="preserve">and supporting documentation </w:t>
      </w:r>
      <w:r w:rsidR="00AA688C" w:rsidRPr="00721668">
        <w:t xml:space="preserve">detailing program expenditures and the required </w:t>
      </w:r>
      <w:r w:rsidR="00231652" w:rsidRPr="00721668">
        <w:t xml:space="preserve">data </w:t>
      </w:r>
      <w:r w:rsidRPr="00721668">
        <w:t xml:space="preserve">as </w:t>
      </w:r>
      <w:r w:rsidRPr="006F7BE8">
        <w:t>set forth in the Reporting Requirements of this NOFA</w:t>
      </w:r>
      <w:r w:rsidR="00996282">
        <w:t xml:space="preserve"> (</w:t>
      </w:r>
      <w:r w:rsidR="00015772">
        <w:t>S</w:t>
      </w:r>
      <w:r w:rsidR="002431B6">
        <w:t>ection 9</w:t>
      </w:r>
      <w:r w:rsidR="00996282">
        <w:t>)</w:t>
      </w:r>
      <w:r w:rsidR="00CF5F78">
        <w:t xml:space="preserve"> and resulting Grant Agreement</w:t>
      </w:r>
      <w:r w:rsidR="00D517A4">
        <w:t>.</w:t>
      </w:r>
    </w:p>
    <w:sectPr w:rsidR="00043414" w:rsidRPr="007E3645">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1C3EA" w14:textId="77777777" w:rsidR="00E92245" w:rsidRDefault="00E92245" w:rsidP="003D0FD3">
      <w:pPr>
        <w:spacing w:after="0" w:line="240" w:lineRule="auto"/>
      </w:pPr>
      <w:r>
        <w:separator/>
      </w:r>
    </w:p>
  </w:endnote>
  <w:endnote w:type="continuationSeparator" w:id="0">
    <w:p w14:paraId="34028009" w14:textId="77777777" w:rsidR="00E92245" w:rsidRDefault="00E92245" w:rsidP="003D0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0AA45" w14:textId="77777777" w:rsidR="00827972" w:rsidRPr="003D0FD3" w:rsidRDefault="00827972">
    <w:pPr>
      <w:pStyle w:val="Footer"/>
      <w:rPr>
        <w:color w:val="000000" w:themeColor="text1"/>
        <w:sz w:val="20"/>
        <w:szCs w:val="20"/>
      </w:rPr>
    </w:pPr>
    <w:r w:rsidRPr="003D0FD3">
      <w:rPr>
        <w:color w:val="000000" w:themeColor="text1"/>
        <w:sz w:val="20"/>
        <w:szCs w:val="20"/>
      </w:rPr>
      <w:t>Notice of Funds Available</w:t>
    </w:r>
  </w:p>
  <w:p w14:paraId="50F0D47C" w14:textId="77777777" w:rsidR="00827972" w:rsidRPr="003D0FD3" w:rsidRDefault="00827972">
    <w:pPr>
      <w:pStyle w:val="Footer"/>
      <w:rPr>
        <w:color w:val="000000" w:themeColor="text1"/>
        <w:sz w:val="20"/>
        <w:szCs w:val="20"/>
      </w:rPr>
    </w:pPr>
    <w:r w:rsidRPr="003D0FD3">
      <w:rPr>
        <w:color w:val="000000" w:themeColor="text1"/>
        <w:sz w:val="20"/>
        <w:szCs w:val="20"/>
      </w:rPr>
      <w:t>California Trauma Recovery Center Grant</w:t>
    </w:r>
  </w:p>
  <w:p w14:paraId="42147476" w14:textId="77777777" w:rsidR="00827972" w:rsidRPr="003D0FD3" w:rsidRDefault="00827972">
    <w:pPr>
      <w:pStyle w:val="Footer"/>
      <w:rPr>
        <w:color w:val="000000" w:themeColor="text1"/>
        <w:sz w:val="20"/>
        <w:szCs w:val="20"/>
      </w:rPr>
    </w:pPr>
    <w:r w:rsidRPr="003D0FD3">
      <w:rPr>
        <w:color w:val="000000" w:themeColor="text1"/>
        <w:sz w:val="20"/>
        <w:szCs w:val="20"/>
      </w:rPr>
      <w:t>Victim Compensation Board</w:t>
    </w:r>
  </w:p>
  <w:p w14:paraId="25C49D6C" w14:textId="77777777" w:rsidR="00827972" w:rsidRDefault="00827972">
    <w:pPr>
      <w:pStyle w:val="Footer"/>
    </w:pPr>
    <w:r>
      <w:rPr>
        <w:noProof/>
      </w:rPr>
      <mc:AlternateContent>
        <mc:Choice Requires="wps">
          <w:drawing>
            <wp:anchor distT="0" distB="0" distL="114300" distR="114300" simplePos="0" relativeHeight="251659264" behindDoc="0" locked="0" layoutInCell="1" allowOverlap="1" wp14:anchorId="6E5119C5" wp14:editId="38569932">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7C71691E" w14:textId="77777777" w:rsidR="00827972" w:rsidRDefault="00827972" w:rsidP="003D0FD3">
                          <w:pPr>
                            <w:pStyle w:val="Footer"/>
                            <w:jc w:val="right"/>
                            <w:rPr>
                              <w:rFonts w:asciiTheme="majorHAnsi" w:hAnsiTheme="majorHAnsi"/>
                              <w:color w:val="000000" w:themeColor="text1"/>
                              <w:sz w:val="24"/>
                              <w:szCs w:val="24"/>
                            </w:rPr>
                          </w:pPr>
                        </w:p>
                        <w:p w14:paraId="25DAA1EE" w14:textId="77777777" w:rsidR="00827972" w:rsidRPr="003D0FD3" w:rsidRDefault="00827972" w:rsidP="003D0FD3">
                          <w:pPr>
                            <w:pStyle w:val="Footer"/>
                            <w:jc w:val="right"/>
                            <w:rPr>
                              <w:rFonts w:asciiTheme="majorHAnsi" w:hAnsiTheme="majorHAnsi"/>
                              <w:color w:val="000000" w:themeColor="text1"/>
                              <w:sz w:val="24"/>
                              <w:szCs w:val="24"/>
                            </w:rPr>
                          </w:pPr>
                          <w:r w:rsidRPr="003D0FD3">
                            <w:rPr>
                              <w:rFonts w:asciiTheme="majorHAnsi" w:hAnsiTheme="majorHAnsi"/>
                              <w:color w:val="000000" w:themeColor="text1"/>
                              <w:sz w:val="24"/>
                              <w:szCs w:val="24"/>
                            </w:rPr>
                            <w:fldChar w:fldCharType="begin"/>
                          </w:r>
                          <w:r w:rsidRPr="003D0FD3">
                            <w:rPr>
                              <w:rFonts w:asciiTheme="majorHAnsi" w:hAnsiTheme="majorHAnsi"/>
                              <w:color w:val="000000" w:themeColor="text1"/>
                              <w:sz w:val="24"/>
                              <w:szCs w:val="24"/>
                            </w:rPr>
                            <w:instrText xml:space="preserve"> PAGE  \* Arabic  \* MERGEFORMAT </w:instrText>
                          </w:r>
                          <w:r w:rsidRPr="003D0FD3">
                            <w:rPr>
                              <w:rFonts w:asciiTheme="majorHAnsi" w:hAnsiTheme="majorHAnsi"/>
                              <w:color w:val="000000" w:themeColor="text1"/>
                              <w:sz w:val="24"/>
                              <w:szCs w:val="24"/>
                            </w:rPr>
                            <w:fldChar w:fldCharType="separate"/>
                          </w:r>
                          <w:r>
                            <w:rPr>
                              <w:rFonts w:asciiTheme="majorHAnsi" w:hAnsiTheme="majorHAnsi"/>
                              <w:noProof/>
                              <w:color w:val="000000" w:themeColor="text1"/>
                              <w:sz w:val="24"/>
                              <w:szCs w:val="24"/>
                            </w:rPr>
                            <w:t>4</w:t>
                          </w:r>
                          <w:r w:rsidRPr="003D0FD3">
                            <w:rPr>
                              <w:rFonts w:asciiTheme="majorHAnsi" w:hAnsiTheme="majorHAnsi"/>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E5119C5"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14:paraId="7C71691E" w14:textId="77777777" w:rsidR="00827972" w:rsidRDefault="00827972" w:rsidP="003D0FD3">
                    <w:pPr>
                      <w:pStyle w:val="Footer"/>
                      <w:jc w:val="right"/>
                      <w:rPr>
                        <w:rFonts w:asciiTheme="majorHAnsi" w:hAnsiTheme="majorHAnsi"/>
                        <w:color w:val="000000" w:themeColor="text1"/>
                        <w:sz w:val="24"/>
                        <w:szCs w:val="24"/>
                      </w:rPr>
                    </w:pPr>
                  </w:p>
                  <w:p w14:paraId="25DAA1EE" w14:textId="77777777" w:rsidR="00827972" w:rsidRPr="003D0FD3" w:rsidRDefault="00827972" w:rsidP="003D0FD3">
                    <w:pPr>
                      <w:pStyle w:val="Footer"/>
                      <w:jc w:val="right"/>
                      <w:rPr>
                        <w:rFonts w:asciiTheme="majorHAnsi" w:hAnsiTheme="majorHAnsi"/>
                        <w:color w:val="000000" w:themeColor="text1"/>
                        <w:sz w:val="24"/>
                        <w:szCs w:val="24"/>
                      </w:rPr>
                    </w:pPr>
                    <w:r w:rsidRPr="003D0FD3">
                      <w:rPr>
                        <w:rFonts w:asciiTheme="majorHAnsi" w:hAnsiTheme="majorHAnsi"/>
                        <w:color w:val="000000" w:themeColor="text1"/>
                        <w:sz w:val="24"/>
                        <w:szCs w:val="24"/>
                      </w:rPr>
                      <w:fldChar w:fldCharType="begin"/>
                    </w:r>
                    <w:r w:rsidRPr="003D0FD3">
                      <w:rPr>
                        <w:rFonts w:asciiTheme="majorHAnsi" w:hAnsiTheme="majorHAnsi"/>
                        <w:color w:val="000000" w:themeColor="text1"/>
                        <w:sz w:val="24"/>
                        <w:szCs w:val="24"/>
                      </w:rPr>
                      <w:instrText xml:space="preserve"> PAGE  \* Arabic  \* MERGEFORMAT </w:instrText>
                    </w:r>
                    <w:r w:rsidRPr="003D0FD3">
                      <w:rPr>
                        <w:rFonts w:asciiTheme="majorHAnsi" w:hAnsiTheme="majorHAnsi"/>
                        <w:color w:val="000000" w:themeColor="text1"/>
                        <w:sz w:val="24"/>
                        <w:szCs w:val="24"/>
                      </w:rPr>
                      <w:fldChar w:fldCharType="separate"/>
                    </w:r>
                    <w:r>
                      <w:rPr>
                        <w:rFonts w:asciiTheme="majorHAnsi" w:hAnsiTheme="majorHAnsi"/>
                        <w:noProof/>
                        <w:color w:val="000000" w:themeColor="text1"/>
                        <w:sz w:val="24"/>
                        <w:szCs w:val="24"/>
                      </w:rPr>
                      <w:t>4</w:t>
                    </w:r>
                    <w:r w:rsidRPr="003D0FD3">
                      <w:rPr>
                        <w:rFonts w:asciiTheme="majorHAnsi" w:hAnsiTheme="majorHAnsi"/>
                        <w:color w:val="000000" w:themeColor="text1"/>
                        <w:sz w:val="24"/>
                        <w:szCs w:val="24"/>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anchorId="6D3FEC1A" wp14:editId="48519296">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552DD7CB"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F028D" w14:textId="77777777" w:rsidR="00E92245" w:rsidRDefault="00E92245" w:rsidP="003D0FD3">
      <w:pPr>
        <w:spacing w:after="0" w:line="240" w:lineRule="auto"/>
      </w:pPr>
      <w:r>
        <w:separator/>
      </w:r>
    </w:p>
  </w:footnote>
  <w:footnote w:type="continuationSeparator" w:id="0">
    <w:p w14:paraId="100CD023" w14:textId="77777777" w:rsidR="00E92245" w:rsidRDefault="00E92245" w:rsidP="003D0F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332"/>
    <w:multiLevelType w:val="hybridMultilevel"/>
    <w:tmpl w:val="659C7A66"/>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C4536F"/>
    <w:multiLevelType w:val="hybridMultilevel"/>
    <w:tmpl w:val="389C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35E3E"/>
    <w:multiLevelType w:val="hybridMultilevel"/>
    <w:tmpl w:val="08B8C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A3B44"/>
    <w:multiLevelType w:val="hybridMultilevel"/>
    <w:tmpl w:val="EA80E93E"/>
    <w:lvl w:ilvl="0" w:tplc="0122EF0A">
      <w:start w:val="5"/>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6E9295D"/>
    <w:multiLevelType w:val="hybridMultilevel"/>
    <w:tmpl w:val="394EC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46747"/>
    <w:multiLevelType w:val="hybridMultilevel"/>
    <w:tmpl w:val="DB0C0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4358C"/>
    <w:multiLevelType w:val="hybridMultilevel"/>
    <w:tmpl w:val="3A9005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921C6F"/>
    <w:multiLevelType w:val="multilevel"/>
    <w:tmpl w:val="143822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C6B1654"/>
    <w:multiLevelType w:val="hybridMultilevel"/>
    <w:tmpl w:val="7EE8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56577"/>
    <w:multiLevelType w:val="hybridMultilevel"/>
    <w:tmpl w:val="8CA8A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4F69F0"/>
    <w:multiLevelType w:val="hybridMultilevel"/>
    <w:tmpl w:val="B5C84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CB67FA"/>
    <w:multiLevelType w:val="hybridMultilevel"/>
    <w:tmpl w:val="DA406B2A"/>
    <w:lvl w:ilvl="0" w:tplc="4E48A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47ED4"/>
    <w:multiLevelType w:val="hybridMultilevel"/>
    <w:tmpl w:val="D580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2509AA"/>
    <w:multiLevelType w:val="hybridMultilevel"/>
    <w:tmpl w:val="758AB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A35FC"/>
    <w:multiLevelType w:val="hybridMultilevel"/>
    <w:tmpl w:val="8106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8A418E"/>
    <w:multiLevelType w:val="hybridMultilevel"/>
    <w:tmpl w:val="3174B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7044C5"/>
    <w:multiLevelType w:val="hybridMultilevel"/>
    <w:tmpl w:val="E556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7A66C3"/>
    <w:multiLevelType w:val="hybridMultilevel"/>
    <w:tmpl w:val="38522D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1F5176B"/>
    <w:multiLevelType w:val="hybridMultilevel"/>
    <w:tmpl w:val="28849A8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7C343063"/>
    <w:multiLevelType w:val="hybridMultilevel"/>
    <w:tmpl w:val="13A0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5"/>
  </w:num>
  <w:num w:numId="5">
    <w:abstractNumId w:val="1"/>
  </w:num>
  <w:num w:numId="6">
    <w:abstractNumId w:val="13"/>
  </w:num>
  <w:num w:numId="7">
    <w:abstractNumId w:val="6"/>
  </w:num>
  <w:num w:numId="8">
    <w:abstractNumId w:val="8"/>
  </w:num>
  <w:num w:numId="9">
    <w:abstractNumId w:val="12"/>
  </w:num>
  <w:num w:numId="10">
    <w:abstractNumId w:val="10"/>
  </w:num>
  <w:num w:numId="11">
    <w:abstractNumId w:val="18"/>
  </w:num>
  <w:num w:numId="12">
    <w:abstractNumId w:val="16"/>
  </w:num>
  <w:num w:numId="13">
    <w:abstractNumId w:val="14"/>
  </w:num>
  <w:num w:numId="14">
    <w:abstractNumId w:val="17"/>
  </w:num>
  <w:num w:numId="15">
    <w:abstractNumId w:val="19"/>
  </w:num>
  <w:num w:numId="16">
    <w:abstractNumId w:val="9"/>
  </w:num>
  <w:num w:numId="17">
    <w:abstractNumId w:val="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QyMjU0szAzMTc3MDRX0lEKTi0uzszPAykwtqwFADmy++MtAAAA"/>
  </w:docVars>
  <w:rsids>
    <w:rsidRoot w:val="003A38CB"/>
    <w:rsid w:val="000001D7"/>
    <w:rsid w:val="00000725"/>
    <w:rsid w:val="00000B36"/>
    <w:rsid w:val="00002AE3"/>
    <w:rsid w:val="000035A4"/>
    <w:rsid w:val="00003A16"/>
    <w:rsid w:val="00005564"/>
    <w:rsid w:val="00005AAB"/>
    <w:rsid w:val="00007F43"/>
    <w:rsid w:val="00013B3E"/>
    <w:rsid w:val="00014D28"/>
    <w:rsid w:val="00015772"/>
    <w:rsid w:val="00016828"/>
    <w:rsid w:val="00016A08"/>
    <w:rsid w:val="00021AC7"/>
    <w:rsid w:val="000245AC"/>
    <w:rsid w:val="00024A00"/>
    <w:rsid w:val="00025B56"/>
    <w:rsid w:val="000274B2"/>
    <w:rsid w:val="000302FD"/>
    <w:rsid w:val="00030A3F"/>
    <w:rsid w:val="000315D5"/>
    <w:rsid w:val="00032143"/>
    <w:rsid w:val="000367E7"/>
    <w:rsid w:val="00040122"/>
    <w:rsid w:val="00040751"/>
    <w:rsid w:val="00043414"/>
    <w:rsid w:val="00045593"/>
    <w:rsid w:val="00046752"/>
    <w:rsid w:val="000507D4"/>
    <w:rsid w:val="0005355D"/>
    <w:rsid w:val="00055F3F"/>
    <w:rsid w:val="00056E43"/>
    <w:rsid w:val="0005755D"/>
    <w:rsid w:val="000578F6"/>
    <w:rsid w:val="00060365"/>
    <w:rsid w:val="0006063F"/>
    <w:rsid w:val="000641B7"/>
    <w:rsid w:val="000710E4"/>
    <w:rsid w:val="00071395"/>
    <w:rsid w:val="0007363A"/>
    <w:rsid w:val="00081DA1"/>
    <w:rsid w:val="0009071A"/>
    <w:rsid w:val="00091B46"/>
    <w:rsid w:val="000A4A9C"/>
    <w:rsid w:val="000A4E98"/>
    <w:rsid w:val="000A5E05"/>
    <w:rsid w:val="000A77C9"/>
    <w:rsid w:val="000A7B18"/>
    <w:rsid w:val="000B24FE"/>
    <w:rsid w:val="000B5BCA"/>
    <w:rsid w:val="000C34ED"/>
    <w:rsid w:val="000C5B94"/>
    <w:rsid w:val="000C64DD"/>
    <w:rsid w:val="000D25BF"/>
    <w:rsid w:val="000D4239"/>
    <w:rsid w:val="000E0626"/>
    <w:rsid w:val="000E268C"/>
    <w:rsid w:val="000E2B83"/>
    <w:rsid w:val="000E582D"/>
    <w:rsid w:val="000E65E9"/>
    <w:rsid w:val="000F673A"/>
    <w:rsid w:val="0010007E"/>
    <w:rsid w:val="00104BB3"/>
    <w:rsid w:val="00106652"/>
    <w:rsid w:val="00106716"/>
    <w:rsid w:val="0011045E"/>
    <w:rsid w:val="0011608A"/>
    <w:rsid w:val="00121026"/>
    <w:rsid w:val="00123AC6"/>
    <w:rsid w:val="00124325"/>
    <w:rsid w:val="0012505C"/>
    <w:rsid w:val="001252A3"/>
    <w:rsid w:val="00126A08"/>
    <w:rsid w:val="00130221"/>
    <w:rsid w:val="00130D0E"/>
    <w:rsid w:val="001367B4"/>
    <w:rsid w:val="00146131"/>
    <w:rsid w:val="00146234"/>
    <w:rsid w:val="00151A27"/>
    <w:rsid w:val="00151A89"/>
    <w:rsid w:val="001531A8"/>
    <w:rsid w:val="00153F4B"/>
    <w:rsid w:val="00154855"/>
    <w:rsid w:val="0015534E"/>
    <w:rsid w:val="001554CA"/>
    <w:rsid w:val="001562D5"/>
    <w:rsid w:val="001564D9"/>
    <w:rsid w:val="0015688A"/>
    <w:rsid w:val="00156BF0"/>
    <w:rsid w:val="0016150E"/>
    <w:rsid w:val="00161526"/>
    <w:rsid w:val="0017295A"/>
    <w:rsid w:val="00172DA5"/>
    <w:rsid w:val="00174B6B"/>
    <w:rsid w:val="00174FFF"/>
    <w:rsid w:val="001755BD"/>
    <w:rsid w:val="00176905"/>
    <w:rsid w:val="00182944"/>
    <w:rsid w:val="00184720"/>
    <w:rsid w:val="00185D10"/>
    <w:rsid w:val="00186AC0"/>
    <w:rsid w:val="00187524"/>
    <w:rsid w:val="001931FA"/>
    <w:rsid w:val="001949E1"/>
    <w:rsid w:val="00194D5A"/>
    <w:rsid w:val="001953FA"/>
    <w:rsid w:val="001955DA"/>
    <w:rsid w:val="00197061"/>
    <w:rsid w:val="001A051C"/>
    <w:rsid w:val="001A0B97"/>
    <w:rsid w:val="001A0F98"/>
    <w:rsid w:val="001A5DE0"/>
    <w:rsid w:val="001A644B"/>
    <w:rsid w:val="001A7DB9"/>
    <w:rsid w:val="001B152F"/>
    <w:rsid w:val="001B234F"/>
    <w:rsid w:val="001B3DAF"/>
    <w:rsid w:val="001B45AB"/>
    <w:rsid w:val="001C3701"/>
    <w:rsid w:val="001D3733"/>
    <w:rsid w:val="001D4520"/>
    <w:rsid w:val="001D5928"/>
    <w:rsid w:val="001D62F7"/>
    <w:rsid w:val="001D7433"/>
    <w:rsid w:val="001D7DA2"/>
    <w:rsid w:val="001E056A"/>
    <w:rsid w:val="001E0CDF"/>
    <w:rsid w:val="001E5EAE"/>
    <w:rsid w:val="001F0A62"/>
    <w:rsid w:val="001F3E77"/>
    <w:rsid w:val="001F5B4B"/>
    <w:rsid w:val="001F60CC"/>
    <w:rsid w:val="00200B0D"/>
    <w:rsid w:val="002029D7"/>
    <w:rsid w:val="0020368F"/>
    <w:rsid w:val="002037D0"/>
    <w:rsid w:val="00204711"/>
    <w:rsid w:val="0020485E"/>
    <w:rsid w:val="0020489D"/>
    <w:rsid w:val="0020558C"/>
    <w:rsid w:val="0020561F"/>
    <w:rsid w:val="00205E30"/>
    <w:rsid w:val="002104C5"/>
    <w:rsid w:val="00210896"/>
    <w:rsid w:val="00210A15"/>
    <w:rsid w:val="00213984"/>
    <w:rsid w:val="00213AA2"/>
    <w:rsid w:val="00217077"/>
    <w:rsid w:val="002175E5"/>
    <w:rsid w:val="00222141"/>
    <w:rsid w:val="002223C0"/>
    <w:rsid w:val="00222A34"/>
    <w:rsid w:val="00225CBC"/>
    <w:rsid w:val="002263AC"/>
    <w:rsid w:val="00231652"/>
    <w:rsid w:val="00231683"/>
    <w:rsid w:val="00232621"/>
    <w:rsid w:val="00233A4B"/>
    <w:rsid w:val="002356FB"/>
    <w:rsid w:val="0023646D"/>
    <w:rsid w:val="002370D1"/>
    <w:rsid w:val="002431B6"/>
    <w:rsid w:val="0024395C"/>
    <w:rsid w:val="00243D89"/>
    <w:rsid w:val="002540FD"/>
    <w:rsid w:val="0025659E"/>
    <w:rsid w:val="002575B9"/>
    <w:rsid w:val="002618AD"/>
    <w:rsid w:val="00264D54"/>
    <w:rsid w:val="00265CB6"/>
    <w:rsid w:val="00266BBC"/>
    <w:rsid w:val="002760F0"/>
    <w:rsid w:val="00277CED"/>
    <w:rsid w:val="00280A92"/>
    <w:rsid w:val="002810C0"/>
    <w:rsid w:val="002828BF"/>
    <w:rsid w:val="00282E26"/>
    <w:rsid w:val="002911FA"/>
    <w:rsid w:val="002926B2"/>
    <w:rsid w:val="00292C6B"/>
    <w:rsid w:val="00292FAC"/>
    <w:rsid w:val="0029421A"/>
    <w:rsid w:val="002A4578"/>
    <w:rsid w:val="002A696F"/>
    <w:rsid w:val="002A6DC7"/>
    <w:rsid w:val="002A79E4"/>
    <w:rsid w:val="002B3E63"/>
    <w:rsid w:val="002B44A9"/>
    <w:rsid w:val="002B46A5"/>
    <w:rsid w:val="002C1F9F"/>
    <w:rsid w:val="002C22D6"/>
    <w:rsid w:val="002C2864"/>
    <w:rsid w:val="002C55DE"/>
    <w:rsid w:val="002D07F8"/>
    <w:rsid w:val="002D1DFF"/>
    <w:rsid w:val="002D24AA"/>
    <w:rsid w:val="002D302C"/>
    <w:rsid w:val="002D4BA1"/>
    <w:rsid w:val="002D52D1"/>
    <w:rsid w:val="002E1453"/>
    <w:rsid w:val="002E3497"/>
    <w:rsid w:val="002E7C4F"/>
    <w:rsid w:val="002F5BD5"/>
    <w:rsid w:val="002F6A18"/>
    <w:rsid w:val="0030757D"/>
    <w:rsid w:val="003077B5"/>
    <w:rsid w:val="00316C8A"/>
    <w:rsid w:val="003175D0"/>
    <w:rsid w:val="003209DF"/>
    <w:rsid w:val="0032513C"/>
    <w:rsid w:val="003304A7"/>
    <w:rsid w:val="00332021"/>
    <w:rsid w:val="0033274C"/>
    <w:rsid w:val="0033646D"/>
    <w:rsid w:val="0034002B"/>
    <w:rsid w:val="00340C31"/>
    <w:rsid w:val="003434D1"/>
    <w:rsid w:val="00343F6E"/>
    <w:rsid w:val="0034485B"/>
    <w:rsid w:val="00345B8A"/>
    <w:rsid w:val="00345C3A"/>
    <w:rsid w:val="00345D48"/>
    <w:rsid w:val="0034701A"/>
    <w:rsid w:val="003471C7"/>
    <w:rsid w:val="0035026D"/>
    <w:rsid w:val="00360AE1"/>
    <w:rsid w:val="00364DA0"/>
    <w:rsid w:val="00366445"/>
    <w:rsid w:val="00370C06"/>
    <w:rsid w:val="00375AAC"/>
    <w:rsid w:val="00380C84"/>
    <w:rsid w:val="00380FBD"/>
    <w:rsid w:val="0038202E"/>
    <w:rsid w:val="003820EA"/>
    <w:rsid w:val="003833E6"/>
    <w:rsid w:val="003877F9"/>
    <w:rsid w:val="00392040"/>
    <w:rsid w:val="00395131"/>
    <w:rsid w:val="003A0933"/>
    <w:rsid w:val="003A1B58"/>
    <w:rsid w:val="003A273C"/>
    <w:rsid w:val="003A3084"/>
    <w:rsid w:val="003A31EA"/>
    <w:rsid w:val="003A38CB"/>
    <w:rsid w:val="003A47CA"/>
    <w:rsid w:val="003A6FBE"/>
    <w:rsid w:val="003A77BE"/>
    <w:rsid w:val="003B32BE"/>
    <w:rsid w:val="003B4210"/>
    <w:rsid w:val="003B6B94"/>
    <w:rsid w:val="003C053A"/>
    <w:rsid w:val="003C2889"/>
    <w:rsid w:val="003C2C8F"/>
    <w:rsid w:val="003C3047"/>
    <w:rsid w:val="003C4590"/>
    <w:rsid w:val="003C4F9B"/>
    <w:rsid w:val="003C7AD2"/>
    <w:rsid w:val="003D07FC"/>
    <w:rsid w:val="003D0FD3"/>
    <w:rsid w:val="003D15F8"/>
    <w:rsid w:val="003D2E9E"/>
    <w:rsid w:val="003D70AA"/>
    <w:rsid w:val="003E16A1"/>
    <w:rsid w:val="003E7260"/>
    <w:rsid w:val="003E7DF3"/>
    <w:rsid w:val="003F2DE8"/>
    <w:rsid w:val="003F3253"/>
    <w:rsid w:val="003F33F9"/>
    <w:rsid w:val="003F5C43"/>
    <w:rsid w:val="003F77ED"/>
    <w:rsid w:val="004008BE"/>
    <w:rsid w:val="00411A01"/>
    <w:rsid w:val="00414801"/>
    <w:rsid w:val="004148C6"/>
    <w:rsid w:val="00415DFF"/>
    <w:rsid w:val="0041758E"/>
    <w:rsid w:val="004175A8"/>
    <w:rsid w:val="0042023B"/>
    <w:rsid w:val="004207F0"/>
    <w:rsid w:val="00424F85"/>
    <w:rsid w:val="0042511A"/>
    <w:rsid w:val="00425CAA"/>
    <w:rsid w:val="00427B07"/>
    <w:rsid w:val="00430162"/>
    <w:rsid w:val="004324A6"/>
    <w:rsid w:val="00432D89"/>
    <w:rsid w:val="004336DE"/>
    <w:rsid w:val="00442454"/>
    <w:rsid w:val="0044303F"/>
    <w:rsid w:val="00443999"/>
    <w:rsid w:val="00443CA8"/>
    <w:rsid w:val="004454BD"/>
    <w:rsid w:val="00445FAC"/>
    <w:rsid w:val="0044701A"/>
    <w:rsid w:val="00450290"/>
    <w:rsid w:val="0045191E"/>
    <w:rsid w:val="00451F94"/>
    <w:rsid w:val="0045215F"/>
    <w:rsid w:val="00452C7C"/>
    <w:rsid w:val="004533C3"/>
    <w:rsid w:val="004537A7"/>
    <w:rsid w:val="00454F52"/>
    <w:rsid w:val="004558D8"/>
    <w:rsid w:val="00461DA0"/>
    <w:rsid w:val="00462F3C"/>
    <w:rsid w:val="0046322A"/>
    <w:rsid w:val="004640EA"/>
    <w:rsid w:val="00467D3C"/>
    <w:rsid w:val="00474776"/>
    <w:rsid w:val="0047697F"/>
    <w:rsid w:val="004820CC"/>
    <w:rsid w:val="00484993"/>
    <w:rsid w:val="004875C4"/>
    <w:rsid w:val="004919A2"/>
    <w:rsid w:val="00491B58"/>
    <w:rsid w:val="00492F8F"/>
    <w:rsid w:val="004A00D6"/>
    <w:rsid w:val="004A0FBF"/>
    <w:rsid w:val="004A1524"/>
    <w:rsid w:val="004A2501"/>
    <w:rsid w:val="004A4BC8"/>
    <w:rsid w:val="004A4E9B"/>
    <w:rsid w:val="004B53F0"/>
    <w:rsid w:val="004C188D"/>
    <w:rsid w:val="004C4974"/>
    <w:rsid w:val="004C4F0F"/>
    <w:rsid w:val="004C6CE8"/>
    <w:rsid w:val="004C701D"/>
    <w:rsid w:val="004C70B0"/>
    <w:rsid w:val="004C72F3"/>
    <w:rsid w:val="004C7744"/>
    <w:rsid w:val="004C7D09"/>
    <w:rsid w:val="004E17FB"/>
    <w:rsid w:val="004E21D1"/>
    <w:rsid w:val="004E2F50"/>
    <w:rsid w:val="004F385A"/>
    <w:rsid w:val="004F50BD"/>
    <w:rsid w:val="004F6CBE"/>
    <w:rsid w:val="005068C4"/>
    <w:rsid w:val="005077B8"/>
    <w:rsid w:val="00510B9D"/>
    <w:rsid w:val="005110BE"/>
    <w:rsid w:val="005116BA"/>
    <w:rsid w:val="005145C1"/>
    <w:rsid w:val="005166C8"/>
    <w:rsid w:val="00516C45"/>
    <w:rsid w:val="005222D7"/>
    <w:rsid w:val="0052236B"/>
    <w:rsid w:val="005226F1"/>
    <w:rsid w:val="005239CF"/>
    <w:rsid w:val="00530E6C"/>
    <w:rsid w:val="005335AC"/>
    <w:rsid w:val="00534B25"/>
    <w:rsid w:val="00535211"/>
    <w:rsid w:val="005379FD"/>
    <w:rsid w:val="005425C5"/>
    <w:rsid w:val="00544580"/>
    <w:rsid w:val="00551466"/>
    <w:rsid w:val="00553BA1"/>
    <w:rsid w:val="00555406"/>
    <w:rsid w:val="00557B3A"/>
    <w:rsid w:val="00565F73"/>
    <w:rsid w:val="00570987"/>
    <w:rsid w:val="00572B4E"/>
    <w:rsid w:val="00576E11"/>
    <w:rsid w:val="00583D3C"/>
    <w:rsid w:val="00584116"/>
    <w:rsid w:val="00584769"/>
    <w:rsid w:val="0058571A"/>
    <w:rsid w:val="00586FC4"/>
    <w:rsid w:val="00592061"/>
    <w:rsid w:val="00592A67"/>
    <w:rsid w:val="005932EE"/>
    <w:rsid w:val="00594322"/>
    <w:rsid w:val="00596379"/>
    <w:rsid w:val="00597D06"/>
    <w:rsid w:val="005A04B1"/>
    <w:rsid w:val="005A47B9"/>
    <w:rsid w:val="005A496B"/>
    <w:rsid w:val="005A659B"/>
    <w:rsid w:val="005A66B0"/>
    <w:rsid w:val="005A7184"/>
    <w:rsid w:val="005B42D0"/>
    <w:rsid w:val="005B6315"/>
    <w:rsid w:val="005B7797"/>
    <w:rsid w:val="005B7ABD"/>
    <w:rsid w:val="005C23AF"/>
    <w:rsid w:val="005C4183"/>
    <w:rsid w:val="005C4DD0"/>
    <w:rsid w:val="005C52C4"/>
    <w:rsid w:val="005C7590"/>
    <w:rsid w:val="005D0010"/>
    <w:rsid w:val="005D1942"/>
    <w:rsid w:val="005D1DE3"/>
    <w:rsid w:val="005D54C4"/>
    <w:rsid w:val="005D5833"/>
    <w:rsid w:val="005E11DD"/>
    <w:rsid w:val="005E41BA"/>
    <w:rsid w:val="005E5B7C"/>
    <w:rsid w:val="005E649C"/>
    <w:rsid w:val="005E728D"/>
    <w:rsid w:val="005F08DB"/>
    <w:rsid w:val="005F37CE"/>
    <w:rsid w:val="005F7799"/>
    <w:rsid w:val="00600998"/>
    <w:rsid w:val="00602371"/>
    <w:rsid w:val="00602C8F"/>
    <w:rsid w:val="00604EAC"/>
    <w:rsid w:val="00605FD3"/>
    <w:rsid w:val="00606E67"/>
    <w:rsid w:val="0060786C"/>
    <w:rsid w:val="00610B44"/>
    <w:rsid w:val="00611B76"/>
    <w:rsid w:val="00612A28"/>
    <w:rsid w:val="00613485"/>
    <w:rsid w:val="0061357A"/>
    <w:rsid w:val="006211A9"/>
    <w:rsid w:val="006245C4"/>
    <w:rsid w:val="006248F4"/>
    <w:rsid w:val="00625BC9"/>
    <w:rsid w:val="00626313"/>
    <w:rsid w:val="00632918"/>
    <w:rsid w:val="0064377D"/>
    <w:rsid w:val="00647950"/>
    <w:rsid w:val="00650CD0"/>
    <w:rsid w:val="006526EB"/>
    <w:rsid w:val="00652854"/>
    <w:rsid w:val="00660362"/>
    <w:rsid w:val="006603DB"/>
    <w:rsid w:val="00660FBC"/>
    <w:rsid w:val="00661316"/>
    <w:rsid w:val="00662EC4"/>
    <w:rsid w:val="00663FB9"/>
    <w:rsid w:val="00664EE0"/>
    <w:rsid w:val="00671682"/>
    <w:rsid w:val="0067211B"/>
    <w:rsid w:val="00672FE8"/>
    <w:rsid w:val="006738C5"/>
    <w:rsid w:val="00676070"/>
    <w:rsid w:val="00683669"/>
    <w:rsid w:val="006841FA"/>
    <w:rsid w:val="00690C26"/>
    <w:rsid w:val="00692446"/>
    <w:rsid w:val="00693E7F"/>
    <w:rsid w:val="006948B5"/>
    <w:rsid w:val="0069676B"/>
    <w:rsid w:val="00696787"/>
    <w:rsid w:val="006A069E"/>
    <w:rsid w:val="006A2442"/>
    <w:rsid w:val="006A3057"/>
    <w:rsid w:val="006A65A8"/>
    <w:rsid w:val="006A6A62"/>
    <w:rsid w:val="006A7B12"/>
    <w:rsid w:val="006B04C5"/>
    <w:rsid w:val="006B091E"/>
    <w:rsid w:val="006B169C"/>
    <w:rsid w:val="006B2B31"/>
    <w:rsid w:val="006B3D87"/>
    <w:rsid w:val="006B41B3"/>
    <w:rsid w:val="006C35E9"/>
    <w:rsid w:val="006C5965"/>
    <w:rsid w:val="006C6590"/>
    <w:rsid w:val="006C79C5"/>
    <w:rsid w:val="006D21AE"/>
    <w:rsid w:val="006D2237"/>
    <w:rsid w:val="006D2CE7"/>
    <w:rsid w:val="006D4F1D"/>
    <w:rsid w:val="006D6EC8"/>
    <w:rsid w:val="006D7ECA"/>
    <w:rsid w:val="006E3789"/>
    <w:rsid w:val="006F24AA"/>
    <w:rsid w:val="006F45CB"/>
    <w:rsid w:val="006F5086"/>
    <w:rsid w:val="006F57E9"/>
    <w:rsid w:val="006F6B9A"/>
    <w:rsid w:val="006F7525"/>
    <w:rsid w:val="006F7BE8"/>
    <w:rsid w:val="007003F9"/>
    <w:rsid w:val="007036DE"/>
    <w:rsid w:val="007039D5"/>
    <w:rsid w:val="007040E2"/>
    <w:rsid w:val="00705EFB"/>
    <w:rsid w:val="0071018F"/>
    <w:rsid w:val="0071077B"/>
    <w:rsid w:val="00712B03"/>
    <w:rsid w:val="007139F7"/>
    <w:rsid w:val="00715AB5"/>
    <w:rsid w:val="007163EA"/>
    <w:rsid w:val="00721668"/>
    <w:rsid w:val="00722DE8"/>
    <w:rsid w:val="00730E98"/>
    <w:rsid w:val="00733E8F"/>
    <w:rsid w:val="00740BD9"/>
    <w:rsid w:val="007446DE"/>
    <w:rsid w:val="0075285C"/>
    <w:rsid w:val="007546CF"/>
    <w:rsid w:val="00756584"/>
    <w:rsid w:val="00757A22"/>
    <w:rsid w:val="00760CDC"/>
    <w:rsid w:val="00761789"/>
    <w:rsid w:val="0076274E"/>
    <w:rsid w:val="007636E3"/>
    <w:rsid w:val="00771DEF"/>
    <w:rsid w:val="00772E95"/>
    <w:rsid w:val="00773750"/>
    <w:rsid w:val="00773F68"/>
    <w:rsid w:val="0078008F"/>
    <w:rsid w:val="007819BA"/>
    <w:rsid w:val="007829CB"/>
    <w:rsid w:val="0078331F"/>
    <w:rsid w:val="007847F5"/>
    <w:rsid w:val="00786095"/>
    <w:rsid w:val="00786DE8"/>
    <w:rsid w:val="00790BBA"/>
    <w:rsid w:val="00791174"/>
    <w:rsid w:val="00793367"/>
    <w:rsid w:val="00793E62"/>
    <w:rsid w:val="00796427"/>
    <w:rsid w:val="0079711F"/>
    <w:rsid w:val="007A1B38"/>
    <w:rsid w:val="007A31B1"/>
    <w:rsid w:val="007A5E23"/>
    <w:rsid w:val="007B6D86"/>
    <w:rsid w:val="007B7508"/>
    <w:rsid w:val="007C2A65"/>
    <w:rsid w:val="007C3C1E"/>
    <w:rsid w:val="007C5282"/>
    <w:rsid w:val="007C56EE"/>
    <w:rsid w:val="007C6BB5"/>
    <w:rsid w:val="007D2CBF"/>
    <w:rsid w:val="007D3534"/>
    <w:rsid w:val="007D3C30"/>
    <w:rsid w:val="007D4AFB"/>
    <w:rsid w:val="007D6E2D"/>
    <w:rsid w:val="007E2E44"/>
    <w:rsid w:val="007E362C"/>
    <w:rsid w:val="007E3645"/>
    <w:rsid w:val="007E3C76"/>
    <w:rsid w:val="007E41BD"/>
    <w:rsid w:val="007E5B21"/>
    <w:rsid w:val="007F22D0"/>
    <w:rsid w:val="008006BE"/>
    <w:rsid w:val="00801307"/>
    <w:rsid w:val="0080160C"/>
    <w:rsid w:val="00801F02"/>
    <w:rsid w:val="00806818"/>
    <w:rsid w:val="008075CE"/>
    <w:rsid w:val="0081014F"/>
    <w:rsid w:val="008101E5"/>
    <w:rsid w:val="0081308A"/>
    <w:rsid w:val="00813E57"/>
    <w:rsid w:val="00817A6F"/>
    <w:rsid w:val="00825A3D"/>
    <w:rsid w:val="00825F11"/>
    <w:rsid w:val="00827972"/>
    <w:rsid w:val="008320CE"/>
    <w:rsid w:val="008367BA"/>
    <w:rsid w:val="00837278"/>
    <w:rsid w:val="00842839"/>
    <w:rsid w:val="00842AFD"/>
    <w:rsid w:val="00845E57"/>
    <w:rsid w:val="00846F95"/>
    <w:rsid w:val="00850CF4"/>
    <w:rsid w:val="008530D1"/>
    <w:rsid w:val="008530EB"/>
    <w:rsid w:val="0085399F"/>
    <w:rsid w:val="00853A6B"/>
    <w:rsid w:val="0085507B"/>
    <w:rsid w:val="00855758"/>
    <w:rsid w:val="00855B49"/>
    <w:rsid w:val="00856C09"/>
    <w:rsid w:val="0085705C"/>
    <w:rsid w:val="0086193B"/>
    <w:rsid w:val="0087006B"/>
    <w:rsid w:val="00873406"/>
    <w:rsid w:val="0087341B"/>
    <w:rsid w:val="0087568F"/>
    <w:rsid w:val="00877D34"/>
    <w:rsid w:val="0088186B"/>
    <w:rsid w:val="00887640"/>
    <w:rsid w:val="00887D99"/>
    <w:rsid w:val="00890F76"/>
    <w:rsid w:val="008944DF"/>
    <w:rsid w:val="008952F5"/>
    <w:rsid w:val="00895893"/>
    <w:rsid w:val="00896252"/>
    <w:rsid w:val="008A3B3A"/>
    <w:rsid w:val="008A45EA"/>
    <w:rsid w:val="008B0AF1"/>
    <w:rsid w:val="008B2ACA"/>
    <w:rsid w:val="008B3B41"/>
    <w:rsid w:val="008B4E48"/>
    <w:rsid w:val="008B76E4"/>
    <w:rsid w:val="008C0F49"/>
    <w:rsid w:val="008C34A0"/>
    <w:rsid w:val="008C3A82"/>
    <w:rsid w:val="008C5495"/>
    <w:rsid w:val="008C59C9"/>
    <w:rsid w:val="008C670E"/>
    <w:rsid w:val="008C78F5"/>
    <w:rsid w:val="008D3B8F"/>
    <w:rsid w:val="008D45FB"/>
    <w:rsid w:val="008D4F53"/>
    <w:rsid w:val="008D5952"/>
    <w:rsid w:val="008E1ADA"/>
    <w:rsid w:val="008E356F"/>
    <w:rsid w:val="008E3C26"/>
    <w:rsid w:val="008E7486"/>
    <w:rsid w:val="008F05BF"/>
    <w:rsid w:val="008F0B5A"/>
    <w:rsid w:val="008F29B0"/>
    <w:rsid w:val="008F2C32"/>
    <w:rsid w:val="008F3D2F"/>
    <w:rsid w:val="008F5720"/>
    <w:rsid w:val="009012CA"/>
    <w:rsid w:val="00903E27"/>
    <w:rsid w:val="00914067"/>
    <w:rsid w:val="00914E39"/>
    <w:rsid w:val="009159BA"/>
    <w:rsid w:val="00917DB5"/>
    <w:rsid w:val="0092042B"/>
    <w:rsid w:val="00920B3E"/>
    <w:rsid w:val="009212F5"/>
    <w:rsid w:val="00925564"/>
    <w:rsid w:val="0092563B"/>
    <w:rsid w:val="0093026D"/>
    <w:rsid w:val="00932159"/>
    <w:rsid w:val="00935F55"/>
    <w:rsid w:val="00936205"/>
    <w:rsid w:val="009372E4"/>
    <w:rsid w:val="00937472"/>
    <w:rsid w:val="00942ED6"/>
    <w:rsid w:val="00945F16"/>
    <w:rsid w:val="00947B11"/>
    <w:rsid w:val="00947C7B"/>
    <w:rsid w:val="00950090"/>
    <w:rsid w:val="00950454"/>
    <w:rsid w:val="009525AA"/>
    <w:rsid w:val="009528B9"/>
    <w:rsid w:val="00953344"/>
    <w:rsid w:val="00954164"/>
    <w:rsid w:val="00954247"/>
    <w:rsid w:val="00955BB6"/>
    <w:rsid w:val="00956518"/>
    <w:rsid w:val="0096504D"/>
    <w:rsid w:val="0096786B"/>
    <w:rsid w:val="00967CC4"/>
    <w:rsid w:val="00972485"/>
    <w:rsid w:val="009742C5"/>
    <w:rsid w:val="00982590"/>
    <w:rsid w:val="00984FFF"/>
    <w:rsid w:val="00986474"/>
    <w:rsid w:val="0099148E"/>
    <w:rsid w:val="00993AAE"/>
    <w:rsid w:val="00996282"/>
    <w:rsid w:val="00996D56"/>
    <w:rsid w:val="009A3CBF"/>
    <w:rsid w:val="009B2122"/>
    <w:rsid w:val="009B26D5"/>
    <w:rsid w:val="009B37B0"/>
    <w:rsid w:val="009B5C52"/>
    <w:rsid w:val="009B78A5"/>
    <w:rsid w:val="009B7AD4"/>
    <w:rsid w:val="009B7B9A"/>
    <w:rsid w:val="009C29A5"/>
    <w:rsid w:val="009C5E96"/>
    <w:rsid w:val="009D069F"/>
    <w:rsid w:val="009D258E"/>
    <w:rsid w:val="009D2C31"/>
    <w:rsid w:val="009D7831"/>
    <w:rsid w:val="009E0E25"/>
    <w:rsid w:val="009E3A86"/>
    <w:rsid w:val="009E5916"/>
    <w:rsid w:val="009E740B"/>
    <w:rsid w:val="009E75FB"/>
    <w:rsid w:val="009F14CE"/>
    <w:rsid w:val="009F26E1"/>
    <w:rsid w:val="009F5AA8"/>
    <w:rsid w:val="009F6B86"/>
    <w:rsid w:val="00A001F1"/>
    <w:rsid w:val="00A03A6F"/>
    <w:rsid w:val="00A04042"/>
    <w:rsid w:val="00A1292C"/>
    <w:rsid w:val="00A174D1"/>
    <w:rsid w:val="00A1778D"/>
    <w:rsid w:val="00A23650"/>
    <w:rsid w:val="00A23946"/>
    <w:rsid w:val="00A25EC0"/>
    <w:rsid w:val="00A3149D"/>
    <w:rsid w:val="00A319E7"/>
    <w:rsid w:val="00A334BA"/>
    <w:rsid w:val="00A35EBF"/>
    <w:rsid w:val="00A3607D"/>
    <w:rsid w:val="00A37BE9"/>
    <w:rsid w:val="00A446B2"/>
    <w:rsid w:val="00A453C3"/>
    <w:rsid w:val="00A46E72"/>
    <w:rsid w:val="00A63851"/>
    <w:rsid w:val="00A63E5C"/>
    <w:rsid w:val="00A665E8"/>
    <w:rsid w:val="00A7220E"/>
    <w:rsid w:val="00A7481E"/>
    <w:rsid w:val="00A76688"/>
    <w:rsid w:val="00A836DB"/>
    <w:rsid w:val="00A85028"/>
    <w:rsid w:val="00A85C14"/>
    <w:rsid w:val="00A86876"/>
    <w:rsid w:val="00A90D74"/>
    <w:rsid w:val="00A930B7"/>
    <w:rsid w:val="00A9390F"/>
    <w:rsid w:val="00A93DCB"/>
    <w:rsid w:val="00A97363"/>
    <w:rsid w:val="00AA688C"/>
    <w:rsid w:val="00AB09D7"/>
    <w:rsid w:val="00AB19EB"/>
    <w:rsid w:val="00AB2613"/>
    <w:rsid w:val="00AB4DF0"/>
    <w:rsid w:val="00AC15A6"/>
    <w:rsid w:val="00AC6641"/>
    <w:rsid w:val="00AD0C25"/>
    <w:rsid w:val="00AD32F6"/>
    <w:rsid w:val="00AD331A"/>
    <w:rsid w:val="00AD3EC3"/>
    <w:rsid w:val="00AD5CF5"/>
    <w:rsid w:val="00AD7F21"/>
    <w:rsid w:val="00AE0E10"/>
    <w:rsid w:val="00AE164D"/>
    <w:rsid w:val="00AE19DE"/>
    <w:rsid w:val="00AE5FBE"/>
    <w:rsid w:val="00AE6220"/>
    <w:rsid w:val="00AE69CF"/>
    <w:rsid w:val="00AF5133"/>
    <w:rsid w:val="00AF5948"/>
    <w:rsid w:val="00B0012F"/>
    <w:rsid w:val="00B014FA"/>
    <w:rsid w:val="00B0300B"/>
    <w:rsid w:val="00B04371"/>
    <w:rsid w:val="00B064D3"/>
    <w:rsid w:val="00B06744"/>
    <w:rsid w:val="00B109F3"/>
    <w:rsid w:val="00B113FD"/>
    <w:rsid w:val="00B16EB3"/>
    <w:rsid w:val="00B20851"/>
    <w:rsid w:val="00B21243"/>
    <w:rsid w:val="00B2192A"/>
    <w:rsid w:val="00B22669"/>
    <w:rsid w:val="00B233EB"/>
    <w:rsid w:val="00B25065"/>
    <w:rsid w:val="00B2577C"/>
    <w:rsid w:val="00B2665B"/>
    <w:rsid w:val="00B302F4"/>
    <w:rsid w:val="00B32267"/>
    <w:rsid w:val="00B326CB"/>
    <w:rsid w:val="00B35AD1"/>
    <w:rsid w:val="00B37412"/>
    <w:rsid w:val="00B4094A"/>
    <w:rsid w:val="00B40ACF"/>
    <w:rsid w:val="00B42E9C"/>
    <w:rsid w:val="00B446E5"/>
    <w:rsid w:val="00B4629C"/>
    <w:rsid w:val="00B51247"/>
    <w:rsid w:val="00B51E9B"/>
    <w:rsid w:val="00B54AE7"/>
    <w:rsid w:val="00B654B9"/>
    <w:rsid w:val="00B657E4"/>
    <w:rsid w:val="00B66C35"/>
    <w:rsid w:val="00B67157"/>
    <w:rsid w:val="00B70E76"/>
    <w:rsid w:val="00B71047"/>
    <w:rsid w:val="00B7499F"/>
    <w:rsid w:val="00B75AC9"/>
    <w:rsid w:val="00B7627F"/>
    <w:rsid w:val="00B76D4F"/>
    <w:rsid w:val="00B77836"/>
    <w:rsid w:val="00B8383C"/>
    <w:rsid w:val="00B85C5E"/>
    <w:rsid w:val="00B86731"/>
    <w:rsid w:val="00B931D6"/>
    <w:rsid w:val="00B94694"/>
    <w:rsid w:val="00B94870"/>
    <w:rsid w:val="00B94C64"/>
    <w:rsid w:val="00B976AA"/>
    <w:rsid w:val="00BA00D7"/>
    <w:rsid w:val="00BA3884"/>
    <w:rsid w:val="00BA632E"/>
    <w:rsid w:val="00BB2DFB"/>
    <w:rsid w:val="00BB6264"/>
    <w:rsid w:val="00BC501B"/>
    <w:rsid w:val="00BC747D"/>
    <w:rsid w:val="00BD1225"/>
    <w:rsid w:val="00BD1755"/>
    <w:rsid w:val="00BD2C50"/>
    <w:rsid w:val="00BD5089"/>
    <w:rsid w:val="00BD64C4"/>
    <w:rsid w:val="00BE1C2D"/>
    <w:rsid w:val="00BE21AD"/>
    <w:rsid w:val="00BE2666"/>
    <w:rsid w:val="00BE3715"/>
    <w:rsid w:val="00BE4D5D"/>
    <w:rsid w:val="00BF0290"/>
    <w:rsid w:val="00BF5860"/>
    <w:rsid w:val="00C01639"/>
    <w:rsid w:val="00C02226"/>
    <w:rsid w:val="00C02EDB"/>
    <w:rsid w:val="00C03B91"/>
    <w:rsid w:val="00C054A1"/>
    <w:rsid w:val="00C05B44"/>
    <w:rsid w:val="00C109D6"/>
    <w:rsid w:val="00C10FC9"/>
    <w:rsid w:val="00C13A21"/>
    <w:rsid w:val="00C13E3F"/>
    <w:rsid w:val="00C159D6"/>
    <w:rsid w:val="00C17D7C"/>
    <w:rsid w:val="00C20F97"/>
    <w:rsid w:val="00C2448F"/>
    <w:rsid w:val="00C27852"/>
    <w:rsid w:val="00C337B0"/>
    <w:rsid w:val="00C35684"/>
    <w:rsid w:val="00C3747C"/>
    <w:rsid w:val="00C40010"/>
    <w:rsid w:val="00C42ABB"/>
    <w:rsid w:val="00C47DDB"/>
    <w:rsid w:val="00C52761"/>
    <w:rsid w:val="00C546FF"/>
    <w:rsid w:val="00C56EF7"/>
    <w:rsid w:val="00C6483F"/>
    <w:rsid w:val="00C713D8"/>
    <w:rsid w:val="00C71573"/>
    <w:rsid w:val="00C73F38"/>
    <w:rsid w:val="00C746FB"/>
    <w:rsid w:val="00C755DA"/>
    <w:rsid w:val="00C81348"/>
    <w:rsid w:val="00C82622"/>
    <w:rsid w:val="00C83883"/>
    <w:rsid w:val="00C90D93"/>
    <w:rsid w:val="00C92BDD"/>
    <w:rsid w:val="00C9312D"/>
    <w:rsid w:val="00CA2CE9"/>
    <w:rsid w:val="00CA30C7"/>
    <w:rsid w:val="00CA5231"/>
    <w:rsid w:val="00CA6D69"/>
    <w:rsid w:val="00CB16AB"/>
    <w:rsid w:val="00CB225A"/>
    <w:rsid w:val="00CB446E"/>
    <w:rsid w:val="00CC1C3F"/>
    <w:rsid w:val="00CC38AA"/>
    <w:rsid w:val="00CC450A"/>
    <w:rsid w:val="00CC535B"/>
    <w:rsid w:val="00CC734A"/>
    <w:rsid w:val="00CD0EC8"/>
    <w:rsid w:val="00CD165A"/>
    <w:rsid w:val="00CD237F"/>
    <w:rsid w:val="00CD2EF9"/>
    <w:rsid w:val="00CD3174"/>
    <w:rsid w:val="00CD6C90"/>
    <w:rsid w:val="00CE20C0"/>
    <w:rsid w:val="00CF0F62"/>
    <w:rsid w:val="00CF148F"/>
    <w:rsid w:val="00CF3B6A"/>
    <w:rsid w:val="00CF4BB8"/>
    <w:rsid w:val="00CF565C"/>
    <w:rsid w:val="00CF5F78"/>
    <w:rsid w:val="00CF7177"/>
    <w:rsid w:val="00D01334"/>
    <w:rsid w:val="00D01F18"/>
    <w:rsid w:val="00D05CEA"/>
    <w:rsid w:val="00D13E21"/>
    <w:rsid w:val="00D142FD"/>
    <w:rsid w:val="00D2642C"/>
    <w:rsid w:val="00D335D5"/>
    <w:rsid w:val="00D45E81"/>
    <w:rsid w:val="00D500C7"/>
    <w:rsid w:val="00D5102C"/>
    <w:rsid w:val="00D517A4"/>
    <w:rsid w:val="00D62DD8"/>
    <w:rsid w:val="00D63551"/>
    <w:rsid w:val="00D645E6"/>
    <w:rsid w:val="00D64EA0"/>
    <w:rsid w:val="00D73309"/>
    <w:rsid w:val="00D75780"/>
    <w:rsid w:val="00D75E2F"/>
    <w:rsid w:val="00D855B8"/>
    <w:rsid w:val="00D85BE2"/>
    <w:rsid w:val="00D85E69"/>
    <w:rsid w:val="00D87FB7"/>
    <w:rsid w:val="00D900D1"/>
    <w:rsid w:val="00D97896"/>
    <w:rsid w:val="00DA38DD"/>
    <w:rsid w:val="00DA4EDA"/>
    <w:rsid w:val="00DA5037"/>
    <w:rsid w:val="00DA50E3"/>
    <w:rsid w:val="00DA6D4E"/>
    <w:rsid w:val="00DA7FBF"/>
    <w:rsid w:val="00DB0037"/>
    <w:rsid w:val="00DB0A78"/>
    <w:rsid w:val="00DB2D88"/>
    <w:rsid w:val="00DB3E97"/>
    <w:rsid w:val="00DC3112"/>
    <w:rsid w:val="00DC607E"/>
    <w:rsid w:val="00DC6F07"/>
    <w:rsid w:val="00DD19D9"/>
    <w:rsid w:val="00DD3320"/>
    <w:rsid w:val="00DD38C8"/>
    <w:rsid w:val="00DD44DD"/>
    <w:rsid w:val="00DD48DE"/>
    <w:rsid w:val="00DD69AB"/>
    <w:rsid w:val="00DD75A7"/>
    <w:rsid w:val="00DE2231"/>
    <w:rsid w:val="00DE2729"/>
    <w:rsid w:val="00DE70CA"/>
    <w:rsid w:val="00DE7C4D"/>
    <w:rsid w:val="00DF226D"/>
    <w:rsid w:val="00DF4454"/>
    <w:rsid w:val="00DF7F17"/>
    <w:rsid w:val="00E00F41"/>
    <w:rsid w:val="00E03CEF"/>
    <w:rsid w:val="00E03F48"/>
    <w:rsid w:val="00E05260"/>
    <w:rsid w:val="00E07F3B"/>
    <w:rsid w:val="00E10E88"/>
    <w:rsid w:val="00E12862"/>
    <w:rsid w:val="00E14C8F"/>
    <w:rsid w:val="00E15C0D"/>
    <w:rsid w:val="00E16D8A"/>
    <w:rsid w:val="00E251DB"/>
    <w:rsid w:val="00E343E3"/>
    <w:rsid w:val="00E34A1C"/>
    <w:rsid w:val="00E35336"/>
    <w:rsid w:val="00E36F2C"/>
    <w:rsid w:val="00E37B71"/>
    <w:rsid w:val="00E37BB6"/>
    <w:rsid w:val="00E408C9"/>
    <w:rsid w:val="00E41681"/>
    <w:rsid w:val="00E44E50"/>
    <w:rsid w:val="00E4561B"/>
    <w:rsid w:val="00E52E57"/>
    <w:rsid w:val="00E56753"/>
    <w:rsid w:val="00E57F16"/>
    <w:rsid w:val="00E606C2"/>
    <w:rsid w:val="00E61074"/>
    <w:rsid w:val="00E651F3"/>
    <w:rsid w:val="00E673BD"/>
    <w:rsid w:val="00E702BF"/>
    <w:rsid w:val="00E70661"/>
    <w:rsid w:val="00E71D68"/>
    <w:rsid w:val="00E7228B"/>
    <w:rsid w:val="00E726B1"/>
    <w:rsid w:val="00E72FD1"/>
    <w:rsid w:val="00E730F0"/>
    <w:rsid w:val="00E73DFB"/>
    <w:rsid w:val="00E73E68"/>
    <w:rsid w:val="00E740EA"/>
    <w:rsid w:val="00E7590F"/>
    <w:rsid w:val="00E76744"/>
    <w:rsid w:val="00E81BB6"/>
    <w:rsid w:val="00E85938"/>
    <w:rsid w:val="00E8627F"/>
    <w:rsid w:val="00E862F4"/>
    <w:rsid w:val="00E87767"/>
    <w:rsid w:val="00E92245"/>
    <w:rsid w:val="00E92EE0"/>
    <w:rsid w:val="00E936AB"/>
    <w:rsid w:val="00E937B8"/>
    <w:rsid w:val="00E93FA9"/>
    <w:rsid w:val="00E96728"/>
    <w:rsid w:val="00E96FCD"/>
    <w:rsid w:val="00EA5C34"/>
    <w:rsid w:val="00EA68DE"/>
    <w:rsid w:val="00EA6CA1"/>
    <w:rsid w:val="00EB00C0"/>
    <w:rsid w:val="00EB044B"/>
    <w:rsid w:val="00EB06C0"/>
    <w:rsid w:val="00EB09C9"/>
    <w:rsid w:val="00EB2633"/>
    <w:rsid w:val="00EC1A98"/>
    <w:rsid w:val="00EC2913"/>
    <w:rsid w:val="00EC2B28"/>
    <w:rsid w:val="00EC7B04"/>
    <w:rsid w:val="00EC7D8C"/>
    <w:rsid w:val="00ED140F"/>
    <w:rsid w:val="00ED16FF"/>
    <w:rsid w:val="00ED1FDC"/>
    <w:rsid w:val="00ED4787"/>
    <w:rsid w:val="00ED6905"/>
    <w:rsid w:val="00EE0819"/>
    <w:rsid w:val="00EE0E87"/>
    <w:rsid w:val="00EE5462"/>
    <w:rsid w:val="00EE6469"/>
    <w:rsid w:val="00EF1F95"/>
    <w:rsid w:val="00EF2AE4"/>
    <w:rsid w:val="00EF4385"/>
    <w:rsid w:val="00EF449D"/>
    <w:rsid w:val="00EF4656"/>
    <w:rsid w:val="00EF4C2A"/>
    <w:rsid w:val="00F10A52"/>
    <w:rsid w:val="00F12400"/>
    <w:rsid w:val="00F139E0"/>
    <w:rsid w:val="00F13F25"/>
    <w:rsid w:val="00F15179"/>
    <w:rsid w:val="00F17C1B"/>
    <w:rsid w:val="00F232E0"/>
    <w:rsid w:val="00F239EB"/>
    <w:rsid w:val="00F248CD"/>
    <w:rsid w:val="00F25EF3"/>
    <w:rsid w:val="00F27E3A"/>
    <w:rsid w:val="00F3230A"/>
    <w:rsid w:val="00F3354E"/>
    <w:rsid w:val="00F3421F"/>
    <w:rsid w:val="00F4018D"/>
    <w:rsid w:val="00F41B5C"/>
    <w:rsid w:val="00F43BFD"/>
    <w:rsid w:val="00F43C39"/>
    <w:rsid w:val="00F44CA6"/>
    <w:rsid w:val="00F44EDD"/>
    <w:rsid w:val="00F5030E"/>
    <w:rsid w:val="00F5103C"/>
    <w:rsid w:val="00F5144C"/>
    <w:rsid w:val="00F53430"/>
    <w:rsid w:val="00F53F50"/>
    <w:rsid w:val="00F551BB"/>
    <w:rsid w:val="00F5648D"/>
    <w:rsid w:val="00F569F6"/>
    <w:rsid w:val="00F6102D"/>
    <w:rsid w:val="00F62E8D"/>
    <w:rsid w:val="00F63121"/>
    <w:rsid w:val="00F67849"/>
    <w:rsid w:val="00F714EB"/>
    <w:rsid w:val="00F72683"/>
    <w:rsid w:val="00F74C05"/>
    <w:rsid w:val="00F76414"/>
    <w:rsid w:val="00F77B26"/>
    <w:rsid w:val="00F80171"/>
    <w:rsid w:val="00F81C10"/>
    <w:rsid w:val="00F83FE9"/>
    <w:rsid w:val="00F918DB"/>
    <w:rsid w:val="00F943ED"/>
    <w:rsid w:val="00F95B33"/>
    <w:rsid w:val="00F964B2"/>
    <w:rsid w:val="00FA2590"/>
    <w:rsid w:val="00FA2FC6"/>
    <w:rsid w:val="00FA30F7"/>
    <w:rsid w:val="00FA4613"/>
    <w:rsid w:val="00FA544D"/>
    <w:rsid w:val="00FB0E30"/>
    <w:rsid w:val="00FB538E"/>
    <w:rsid w:val="00FB74F6"/>
    <w:rsid w:val="00FC7921"/>
    <w:rsid w:val="00FC7FF0"/>
    <w:rsid w:val="00FD10C9"/>
    <w:rsid w:val="00FD24A6"/>
    <w:rsid w:val="00FD611D"/>
    <w:rsid w:val="00FD7288"/>
    <w:rsid w:val="00FD7E82"/>
    <w:rsid w:val="00FE5AEB"/>
    <w:rsid w:val="00FE68C4"/>
    <w:rsid w:val="00FE7018"/>
    <w:rsid w:val="00FF00E4"/>
    <w:rsid w:val="00FF6467"/>
    <w:rsid w:val="00FF7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D32E35C"/>
  <w15:docId w15:val="{FC773BEA-33DE-4F10-9866-AB3615B0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50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47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38C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A6D69"/>
    <w:rPr>
      <w:color w:val="0000FF" w:themeColor="hyperlink"/>
      <w:u w:val="single"/>
    </w:rPr>
  </w:style>
  <w:style w:type="paragraph" w:styleId="ListParagraph">
    <w:name w:val="List Paragraph"/>
    <w:basedOn w:val="Normal"/>
    <w:uiPriority w:val="34"/>
    <w:qFormat/>
    <w:rsid w:val="002B3E63"/>
    <w:pPr>
      <w:ind w:left="720"/>
      <w:contextualSpacing/>
    </w:pPr>
  </w:style>
  <w:style w:type="character" w:styleId="CommentReference">
    <w:name w:val="annotation reference"/>
    <w:basedOn w:val="DefaultParagraphFont"/>
    <w:uiPriority w:val="99"/>
    <w:semiHidden/>
    <w:unhideWhenUsed/>
    <w:rsid w:val="00A35EBF"/>
    <w:rPr>
      <w:sz w:val="16"/>
      <w:szCs w:val="16"/>
    </w:rPr>
  </w:style>
  <w:style w:type="paragraph" w:styleId="CommentText">
    <w:name w:val="annotation text"/>
    <w:basedOn w:val="Normal"/>
    <w:link w:val="CommentTextChar"/>
    <w:uiPriority w:val="99"/>
    <w:unhideWhenUsed/>
    <w:rsid w:val="00A35EBF"/>
    <w:pPr>
      <w:spacing w:line="240" w:lineRule="auto"/>
    </w:pPr>
    <w:rPr>
      <w:sz w:val="20"/>
      <w:szCs w:val="20"/>
    </w:rPr>
  </w:style>
  <w:style w:type="character" w:customStyle="1" w:styleId="CommentTextChar">
    <w:name w:val="Comment Text Char"/>
    <w:basedOn w:val="DefaultParagraphFont"/>
    <w:link w:val="CommentText"/>
    <w:uiPriority w:val="99"/>
    <w:rsid w:val="00A35EBF"/>
    <w:rPr>
      <w:sz w:val="20"/>
      <w:szCs w:val="20"/>
    </w:rPr>
  </w:style>
  <w:style w:type="paragraph" w:styleId="CommentSubject">
    <w:name w:val="annotation subject"/>
    <w:basedOn w:val="CommentText"/>
    <w:next w:val="CommentText"/>
    <w:link w:val="CommentSubjectChar"/>
    <w:uiPriority w:val="99"/>
    <w:semiHidden/>
    <w:unhideWhenUsed/>
    <w:rsid w:val="00A35EBF"/>
    <w:rPr>
      <w:b/>
      <w:bCs/>
    </w:rPr>
  </w:style>
  <w:style w:type="character" w:customStyle="1" w:styleId="CommentSubjectChar">
    <w:name w:val="Comment Subject Char"/>
    <w:basedOn w:val="CommentTextChar"/>
    <w:link w:val="CommentSubject"/>
    <w:uiPriority w:val="99"/>
    <w:semiHidden/>
    <w:rsid w:val="00A35EBF"/>
    <w:rPr>
      <w:b/>
      <w:bCs/>
      <w:sz w:val="20"/>
      <w:szCs w:val="20"/>
    </w:rPr>
  </w:style>
  <w:style w:type="paragraph" w:styleId="BalloonText">
    <w:name w:val="Balloon Text"/>
    <w:basedOn w:val="Normal"/>
    <w:link w:val="BalloonTextChar"/>
    <w:uiPriority w:val="99"/>
    <w:semiHidden/>
    <w:unhideWhenUsed/>
    <w:rsid w:val="00A35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EBF"/>
    <w:rPr>
      <w:rFonts w:ascii="Tahoma" w:hAnsi="Tahoma" w:cs="Tahoma"/>
      <w:sz w:val="16"/>
      <w:szCs w:val="16"/>
    </w:rPr>
  </w:style>
  <w:style w:type="paragraph" w:styleId="Header">
    <w:name w:val="header"/>
    <w:basedOn w:val="Normal"/>
    <w:link w:val="HeaderChar"/>
    <w:uiPriority w:val="99"/>
    <w:unhideWhenUsed/>
    <w:rsid w:val="003D0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FD3"/>
  </w:style>
  <w:style w:type="paragraph" w:styleId="Footer">
    <w:name w:val="footer"/>
    <w:basedOn w:val="Normal"/>
    <w:link w:val="FooterChar"/>
    <w:uiPriority w:val="99"/>
    <w:unhideWhenUsed/>
    <w:rsid w:val="003D0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FD3"/>
  </w:style>
  <w:style w:type="paragraph" w:customStyle="1" w:styleId="CE490426FA1F417B964E942E3A6CE9DE">
    <w:name w:val="CE490426FA1F417B964E942E3A6CE9DE"/>
    <w:rsid w:val="003D0FD3"/>
    <w:rPr>
      <w:rFonts w:eastAsiaTheme="minorEastAsia"/>
      <w:lang w:eastAsia="ja-JP"/>
    </w:rPr>
  </w:style>
  <w:style w:type="character" w:customStyle="1" w:styleId="Heading2Char">
    <w:name w:val="Heading 2 Char"/>
    <w:basedOn w:val="DefaultParagraphFont"/>
    <w:link w:val="Heading2"/>
    <w:uiPriority w:val="9"/>
    <w:rsid w:val="00184720"/>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277CED"/>
    <w:pPr>
      <w:tabs>
        <w:tab w:val="right" w:leader="dot" w:pos="9350"/>
      </w:tabs>
      <w:spacing w:after="100"/>
      <w:ind w:left="220"/>
    </w:pPr>
  </w:style>
  <w:style w:type="character" w:styleId="FollowedHyperlink">
    <w:name w:val="FollowedHyperlink"/>
    <w:basedOn w:val="DefaultParagraphFont"/>
    <w:uiPriority w:val="99"/>
    <w:semiHidden/>
    <w:unhideWhenUsed/>
    <w:rsid w:val="00EE0819"/>
    <w:rPr>
      <w:color w:val="800080" w:themeColor="followedHyperlink"/>
      <w:u w:val="single"/>
    </w:rPr>
  </w:style>
  <w:style w:type="character" w:customStyle="1" w:styleId="Heading1Char">
    <w:name w:val="Heading 1 Char"/>
    <w:basedOn w:val="DefaultParagraphFont"/>
    <w:link w:val="Heading1"/>
    <w:uiPriority w:val="9"/>
    <w:rsid w:val="00A8502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054A1"/>
    <w:pPr>
      <w:outlineLvl w:val="9"/>
    </w:pPr>
    <w:rPr>
      <w:lang w:eastAsia="ja-JP"/>
    </w:rPr>
  </w:style>
  <w:style w:type="paragraph" w:styleId="Revision">
    <w:name w:val="Revision"/>
    <w:hidden/>
    <w:uiPriority w:val="99"/>
    <w:semiHidden/>
    <w:rsid w:val="00ED1FDC"/>
    <w:pPr>
      <w:spacing w:after="0" w:line="240" w:lineRule="auto"/>
    </w:pPr>
  </w:style>
  <w:style w:type="paragraph" w:styleId="FootnoteText">
    <w:name w:val="footnote text"/>
    <w:basedOn w:val="Normal"/>
    <w:link w:val="FootnoteTextChar"/>
    <w:uiPriority w:val="99"/>
    <w:semiHidden/>
    <w:unhideWhenUsed/>
    <w:rsid w:val="00CB22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225A"/>
    <w:rPr>
      <w:sz w:val="20"/>
      <w:szCs w:val="20"/>
    </w:rPr>
  </w:style>
  <w:style w:type="character" w:styleId="FootnoteReference">
    <w:name w:val="footnote reference"/>
    <w:basedOn w:val="DefaultParagraphFont"/>
    <w:uiPriority w:val="99"/>
    <w:semiHidden/>
    <w:unhideWhenUsed/>
    <w:rsid w:val="00CB225A"/>
    <w:rPr>
      <w:vertAlign w:val="superscript"/>
    </w:rPr>
  </w:style>
  <w:style w:type="character" w:styleId="UnresolvedMention">
    <w:name w:val="Unresolved Mention"/>
    <w:basedOn w:val="DefaultParagraphFont"/>
    <w:uiPriority w:val="99"/>
    <w:semiHidden/>
    <w:unhideWhenUsed/>
    <w:rsid w:val="000315D5"/>
    <w:rPr>
      <w:color w:val="808080"/>
      <w:shd w:val="clear" w:color="auto" w:fill="E6E6E6"/>
    </w:rPr>
  </w:style>
  <w:style w:type="table" w:styleId="TableGrid">
    <w:name w:val="Table Grid"/>
    <w:basedOn w:val="TableNormal"/>
    <w:uiPriority w:val="59"/>
    <w:rsid w:val="00025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97075">
      <w:bodyDiv w:val="1"/>
      <w:marLeft w:val="0"/>
      <w:marRight w:val="0"/>
      <w:marTop w:val="0"/>
      <w:marBottom w:val="0"/>
      <w:divBdr>
        <w:top w:val="none" w:sz="0" w:space="0" w:color="auto"/>
        <w:left w:val="none" w:sz="0" w:space="0" w:color="auto"/>
        <w:bottom w:val="none" w:sz="0" w:space="0" w:color="auto"/>
        <w:right w:val="none" w:sz="0" w:space="0" w:color="auto"/>
      </w:divBdr>
    </w:div>
    <w:div w:id="259532981">
      <w:bodyDiv w:val="1"/>
      <w:marLeft w:val="0"/>
      <w:marRight w:val="0"/>
      <w:marTop w:val="0"/>
      <w:marBottom w:val="0"/>
      <w:divBdr>
        <w:top w:val="none" w:sz="0" w:space="0" w:color="auto"/>
        <w:left w:val="none" w:sz="0" w:space="0" w:color="auto"/>
        <w:bottom w:val="none" w:sz="0" w:space="0" w:color="auto"/>
        <w:right w:val="none" w:sz="0" w:space="0" w:color="auto"/>
      </w:divBdr>
    </w:div>
    <w:div w:id="629821805">
      <w:bodyDiv w:val="1"/>
      <w:marLeft w:val="0"/>
      <w:marRight w:val="0"/>
      <w:marTop w:val="0"/>
      <w:marBottom w:val="0"/>
      <w:divBdr>
        <w:top w:val="none" w:sz="0" w:space="0" w:color="auto"/>
        <w:left w:val="none" w:sz="0" w:space="0" w:color="auto"/>
        <w:bottom w:val="none" w:sz="0" w:space="0" w:color="auto"/>
        <w:right w:val="none" w:sz="0" w:space="0" w:color="auto"/>
      </w:divBdr>
    </w:div>
    <w:div w:id="730271286">
      <w:bodyDiv w:val="1"/>
      <w:marLeft w:val="0"/>
      <w:marRight w:val="0"/>
      <w:marTop w:val="0"/>
      <w:marBottom w:val="0"/>
      <w:divBdr>
        <w:top w:val="none" w:sz="0" w:space="0" w:color="auto"/>
        <w:left w:val="none" w:sz="0" w:space="0" w:color="auto"/>
        <w:bottom w:val="none" w:sz="0" w:space="0" w:color="auto"/>
        <w:right w:val="none" w:sz="0" w:space="0" w:color="auto"/>
      </w:divBdr>
    </w:div>
    <w:div w:id="1457679134">
      <w:bodyDiv w:val="1"/>
      <w:marLeft w:val="0"/>
      <w:marRight w:val="0"/>
      <w:marTop w:val="0"/>
      <w:marBottom w:val="0"/>
      <w:divBdr>
        <w:top w:val="none" w:sz="0" w:space="0" w:color="auto"/>
        <w:left w:val="none" w:sz="0" w:space="0" w:color="auto"/>
        <w:bottom w:val="none" w:sz="0" w:space="0" w:color="auto"/>
        <w:right w:val="none" w:sz="0" w:space="0" w:color="auto"/>
      </w:divBdr>
    </w:div>
    <w:div w:id="1574923896">
      <w:bodyDiv w:val="1"/>
      <w:marLeft w:val="0"/>
      <w:marRight w:val="0"/>
      <w:marTop w:val="0"/>
      <w:marBottom w:val="0"/>
      <w:divBdr>
        <w:top w:val="none" w:sz="0" w:space="0" w:color="auto"/>
        <w:left w:val="none" w:sz="0" w:space="0" w:color="auto"/>
        <w:bottom w:val="none" w:sz="0" w:space="0" w:color="auto"/>
        <w:right w:val="none" w:sz="0" w:space="0" w:color="auto"/>
      </w:divBdr>
    </w:div>
    <w:div w:id="2028557700">
      <w:bodyDiv w:val="1"/>
      <w:marLeft w:val="0"/>
      <w:marRight w:val="0"/>
      <w:marTop w:val="0"/>
      <w:marBottom w:val="0"/>
      <w:divBdr>
        <w:top w:val="none" w:sz="0" w:space="0" w:color="auto"/>
        <w:left w:val="none" w:sz="0" w:space="0" w:color="auto"/>
        <w:bottom w:val="none" w:sz="0" w:space="0" w:color="auto"/>
        <w:right w:val="none" w:sz="0" w:space="0" w:color="auto"/>
      </w:divBdr>
    </w:div>
    <w:div w:id="209685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Hqsac.lan\dfs\VCGCB\20-21%20TRC%20NOFA\2020%20TRC%20NOFA%20App%2012.5.19.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victims.c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gs.ca.gov/Default.aspx?alias=www.dgs.ca.gov/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ctims.ca.gov/board/grants.aspx" TargetMode="External"/><Relationship Id="rId5" Type="http://schemas.openxmlformats.org/officeDocument/2006/relationships/webSettings" Target="webSettings.xml"/><Relationship Id="rId15" Type="http://schemas.openxmlformats.org/officeDocument/2006/relationships/hyperlink" Target="http://www.documents.dgs.ca.gov/osp/pdf/std204.pdf" TargetMode="External"/><Relationship Id="rId10" Type="http://schemas.openxmlformats.org/officeDocument/2006/relationships/hyperlink" Target="mailto:Grants@victims.c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raumarecoverycenter.org/wp-content/uploads/2020/04/TRC-Manual.pdf" TargetMode="External"/><Relationship Id="rId14" Type="http://schemas.openxmlformats.org/officeDocument/2006/relationships/hyperlink" Target="mailto:Grants@victims.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A9FD2-9C20-4569-AC6E-D7A63BA50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4000</Words>
  <Characters>22801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VCGCB</Company>
  <LinksUpToDate>false</LinksUpToDate>
  <CharactersWithSpaces>26748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sharris</dc:creator>
  <cp:keywords/>
  <dc:description/>
  <cp:lastModifiedBy>Jordan, Ava@Victims</cp:lastModifiedBy>
  <cp:revision>3</cp:revision>
  <cp:lastPrinted>2020-10-07T21:37:00Z</cp:lastPrinted>
  <dcterms:created xsi:type="dcterms:W3CDTF">2021-04-13T18:35:00Z</dcterms:created>
  <dcterms:modified xsi:type="dcterms:W3CDTF">2021-04-13T18:37:00Z</dcterms:modified>
</cp:coreProperties>
</file>