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A28" w14:textId="77777777" w:rsidR="003E1DCC" w:rsidRPr="003E1DCC" w:rsidRDefault="00055529" w:rsidP="003E1DCC">
      <w:pPr>
        <w:spacing w:after="0"/>
        <w:jc w:val="center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 xml:space="preserve">CalVCB TRC Grant </w:t>
      </w:r>
      <w:r w:rsidR="00234343"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>202</w:t>
      </w:r>
      <w:r w:rsidR="001C7225"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>4-</w:t>
      </w:r>
      <w:r w:rsidR="003E1DCC"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>2</w:t>
      </w:r>
      <w:r w:rsidR="001C7225"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>5</w:t>
      </w:r>
      <w:r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 xml:space="preserve"> </w:t>
      </w:r>
    </w:p>
    <w:p w14:paraId="690DC629" w14:textId="197A2C41" w:rsidR="00055529" w:rsidRPr="003E1DCC" w:rsidRDefault="00055529" w:rsidP="008F3C19">
      <w:pPr>
        <w:spacing w:after="240"/>
        <w:jc w:val="center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3E1DCC">
        <w:rPr>
          <w:rFonts w:ascii="Century Gothic" w:hAnsi="Century Gothic" w:cstheme="minorHAnsi"/>
          <w:b/>
          <w:bCs/>
          <w:sz w:val="28"/>
          <w:szCs w:val="28"/>
          <w:u w:val="single"/>
        </w:rPr>
        <w:t>NOFA Q&amp;A</w:t>
      </w:r>
    </w:p>
    <w:p w14:paraId="295A9DBC" w14:textId="5ED6D8E3" w:rsidR="00055529" w:rsidRPr="003E1DCC" w:rsidRDefault="00055529" w:rsidP="00D27094">
      <w:pPr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t xml:space="preserve">1) </w:t>
      </w:r>
      <w:r w:rsidR="00D27094" w:rsidRPr="003E1DCC"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  <w:t>Would you please advise how much an individual agency can apply for?</w:t>
      </w:r>
    </w:p>
    <w:p w14:paraId="0626B10C" w14:textId="28E1A021" w:rsidR="003E1DCC" w:rsidRPr="003E1DCC" w:rsidRDefault="003F7738" w:rsidP="008F3C19">
      <w:pPr>
        <w:spacing w:after="240"/>
        <w:jc w:val="both"/>
        <w:rPr>
          <w:rFonts w:ascii="Century Gothic" w:hAnsi="Century Gothic" w:cstheme="minorHAnsi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sz w:val="24"/>
          <w:szCs w:val="24"/>
        </w:rPr>
        <w:t xml:space="preserve">A: </w:t>
      </w:r>
      <w:r w:rsidR="005C3992" w:rsidRPr="003E1DCC">
        <w:rPr>
          <w:rFonts w:ascii="Century Gothic" w:hAnsi="Century Gothic" w:cstheme="minorHAnsi"/>
          <w:sz w:val="24"/>
          <w:szCs w:val="24"/>
        </w:rPr>
        <w:t>There are no restrictions on the amount an agency can apply for</w:t>
      </w:r>
      <w:r w:rsidR="00D27094" w:rsidRPr="003E1DCC">
        <w:rPr>
          <w:rFonts w:ascii="Century Gothic" w:hAnsi="Century Gothic" w:cstheme="minorHAnsi"/>
          <w:sz w:val="24"/>
          <w:szCs w:val="24"/>
        </w:rPr>
        <w:t xml:space="preserve">. </w:t>
      </w:r>
    </w:p>
    <w:p w14:paraId="69C8B544" w14:textId="7706AA87" w:rsidR="00D27094" w:rsidRPr="003E1DCC" w:rsidRDefault="00D27094" w:rsidP="008F3C19">
      <w:pPr>
        <w:spacing w:after="240"/>
        <w:jc w:val="both"/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t>2)</w:t>
      </w:r>
      <w:r w:rsidRPr="003E1DCC">
        <w:rPr>
          <w:rFonts w:ascii="Century Gothic" w:hAnsi="Century Gothic" w:cstheme="minorHAnsi"/>
          <w:color w:val="4472C4" w:themeColor="accent1"/>
          <w:sz w:val="24"/>
          <w:szCs w:val="24"/>
        </w:rPr>
        <w:t xml:space="preserve"> </w:t>
      </w: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t>Would a Family Justice Center be considered a Trauma Recovery Center?</w:t>
      </w:r>
    </w:p>
    <w:p w14:paraId="18330BC0" w14:textId="598FA82D" w:rsidR="003E1DCC" w:rsidRPr="00CF4C3C" w:rsidRDefault="00D27094" w:rsidP="008F3C19">
      <w:pPr>
        <w:spacing w:after="240"/>
        <w:jc w:val="both"/>
        <w:rPr>
          <w:rFonts w:ascii="Century Gothic" w:hAnsi="Century Gothic" w:cstheme="minorHAnsi"/>
          <w:color w:val="000000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A: </w:t>
      </w:r>
      <w:r w:rsidR="00EF60A4" w:rsidRPr="00CF4C3C">
        <w:rPr>
          <w:rFonts w:ascii="Century Gothic" w:hAnsi="Century Gothic" w:cstheme="minorHAnsi"/>
          <w:color w:val="000000"/>
          <w:sz w:val="24"/>
          <w:szCs w:val="24"/>
        </w:rPr>
        <w:t>Any organization meeting the program requirements as outlined in</w:t>
      </w:r>
      <w:r w:rsidR="00CF4C3C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="004B7DD0" w:rsidRPr="00CF4C3C">
        <w:rPr>
          <w:rFonts w:ascii="Century Gothic" w:hAnsi="Century Gothic" w:cstheme="minorHAnsi"/>
          <w:color w:val="000000"/>
          <w:sz w:val="24"/>
          <w:szCs w:val="24"/>
        </w:rPr>
        <w:t xml:space="preserve">Government Code sections 13963.1 and 13963.2 for the Trauma Recovery Center (TRC) </w:t>
      </w:r>
      <w:r w:rsidR="00CF4C3C" w:rsidRPr="00CF4C3C">
        <w:rPr>
          <w:rFonts w:ascii="Century Gothic" w:hAnsi="Century Gothic" w:cstheme="minorHAnsi"/>
          <w:color w:val="000000"/>
          <w:sz w:val="24"/>
          <w:szCs w:val="24"/>
        </w:rPr>
        <w:t>programs may</w:t>
      </w:r>
      <w:r w:rsidR="004B7DD0" w:rsidRPr="00CF4C3C">
        <w:rPr>
          <w:rFonts w:ascii="Century Gothic" w:hAnsi="Century Gothic" w:cstheme="minorHAnsi"/>
          <w:color w:val="000000"/>
          <w:sz w:val="24"/>
          <w:szCs w:val="24"/>
        </w:rPr>
        <w:t xml:space="preserve"> be eligible for a TRC grant award.</w:t>
      </w:r>
    </w:p>
    <w:p w14:paraId="7CAE26F8" w14:textId="77777777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t xml:space="preserve">3) </w:t>
      </w:r>
      <w:r w:rsidRPr="003E1DCC"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  <w:t xml:space="preserve">We were not able to find a budget narrative template for this NOFA. Is a budget narrative required in the proposal? </w:t>
      </w:r>
    </w:p>
    <w:p w14:paraId="0AFEA87E" w14:textId="77777777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24"/>
          <w:szCs w:val="24"/>
        </w:rPr>
      </w:pPr>
    </w:p>
    <w:p w14:paraId="2CA23B5B" w14:textId="173B1FCE" w:rsidR="003E1DCC" w:rsidRDefault="004B7DD0" w:rsidP="00CF4C3C">
      <w:pPr>
        <w:spacing w:line="240" w:lineRule="auto"/>
        <w:contextualSpacing/>
        <w:rPr>
          <w:rFonts w:ascii="Century Gothic" w:hAnsi="Century Gothic" w:cstheme="minorHAnsi"/>
          <w:sz w:val="24"/>
          <w:szCs w:val="24"/>
        </w:rPr>
      </w:pPr>
      <w:r w:rsidRPr="003E1DCC">
        <w:rPr>
          <w:rFonts w:ascii="Century Gothic" w:eastAsia="Times New Roman" w:hAnsi="Century Gothic" w:cstheme="minorHAnsi"/>
          <w:b/>
          <w:bCs/>
          <w:sz w:val="24"/>
          <w:szCs w:val="24"/>
        </w:rPr>
        <w:t xml:space="preserve">A: </w:t>
      </w:r>
      <w:r w:rsidR="005E5CEC" w:rsidRPr="003E1DCC">
        <w:rPr>
          <w:rFonts w:ascii="Century Gothic" w:eastAsia="Times New Roman" w:hAnsi="Century Gothic" w:cstheme="minorHAnsi"/>
          <w:sz w:val="24"/>
          <w:szCs w:val="24"/>
        </w:rPr>
        <w:t>There is no budget narrative template, but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 a budget narrative is required. The </w:t>
      </w:r>
      <w:r w:rsidR="0073093E">
        <w:rPr>
          <w:rFonts w:ascii="Century Gothic" w:eastAsia="Times New Roman" w:hAnsi="Century Gothic" w:cstheme="minorHAnsi"/>
          <w:sz w:val="24"/>
          <w:szCs w:val="24"/>
        </w:rPr>
        <w:t xml:space="preserve">narrative should capture the correlation between the master budget and the budget requirements as </w:t>
      </w:r>
      <w:r w:rsidR="00CF4C3C">
        <w:rPr>
          <w:rFonts w:ascii="Century Gothic" w:eastAsia="Times New Roman" w:hAnsi="Century Gothic" w:cstheme="minorHAnsi"/>
          <w:sz w:val="24"/>
          <w:szCs w:val="24"/>
        </w:rPr>
        <w:t>outlined</w:t>
      </w:r>
      <w:r w:rsidR="0073093E">
        <w:rPr>
          <w:rFonts w:ascii="Century Gothic" w:eastAsia="Times New Roman" w:hAnsi="Century Gothic" w:cstheme="minorHAnsi"/>
          <w:sz w:val="24"/>
          <w:szCs w:val="24"/>
        </w:rPr>
        <w:t xml:space="preserve"> in the Notice Of Funds Available and conform to the </w:t>
      </w:r>
      <w:r w:rsidR="005E5CEC" w:rsidRPr="003E1DCC">
        <w:rPr>
          <w:rFonts w:ascii="Century Gothic" w:eastAsia="Times New Roman" w:hAnsi="Century Gothic" w:cstheme="minorHAnsi"/>
          <w:sz w:val="24"/>
          <w:szCs w:val="24"/>
        </w:rPr>
        <w:t>general formatting requirements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 on page 5 of the Notice of Funds Available</w:t>
      </w:r>
      <w:r w:rsidR="00CF4C3C">
        <w:rPr>
          <w:rFonts w:ascii="Century Gothic" w:eastAsia="Times New Roman" w:hAnsi="Century Gothic" w:cstheme="minorHAnsi"/>
          <w:sz w:val="24"/>
          <w:szCs w:val="24"/>
        </w:rPr>
        <w:t xml:space="preserve">. </w:t>
      </w:r>
    </w:p>
    <w:p w14:paraId="5793C63D" w14:textId="77777777" w:rsidR="00CF4C3C" w:rsidRPr="00CF4C3C" w:rsidRDefault="00CF4C3C" w:rsidP="00CF4C3C">
      <w:pPr>
        <w:spacing w:line="240" w:lineRule="auto"/>
        <w:contextualSpacing/>
        <w:rPr>
          <w:rFonts w:ascii="Century Gothic" w:hAnsi="Century Gothic" w:cstheme="minorHAnsi"/>
          <w:sz w:val="24"/>
          <w:szCs w:val="24"/>
        </w:rPr>
      </w:pPr>
    </w:p>
    <w:p w14:paraId="6D55BCB7" w14:textId="77777777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t xml:space="preserve">4) </w:t>
      </w:r>
      <w:r w:rsidRPr="003E1DCC"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  <w:t>If the proposal requires a budget narrative, is a template available?</w:t>
      </w:r>
    </w:p>
    <w:p w14:paraId="61C75353" w14:textId="77777777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24"/>
          <w:szCs w:val="24"/>
        </w:rPr>
      </w:pPr>
    </w:p>
    <w:p w14:paraId="13779E7A" w14:textId="034F5E7B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3E1DCC">
        <w:rPr>
          <w:rFonts w:ascii="Century Gothic" w:eastAsia="Times New Roman" w:hAnsi="Century Gothic" w:cstheme="minorHAnsi"/>
          <w:b/>
          <w:bCs/>
          <w:sz w:val="24"/>
          <w:szCs w:val="24"/>
        </w:rPr>
        <w:t>A:</w:t>
      </w:r>
      <w:r w:rsidRPr="003E1DCC">
        <w:rPr>
          <w:rFonts w:ascii="Century Gothic" w:eastAsia="Times New Roman" w:hAnsi="Century Gothic" w:cstheme="minorHAnsi"/>
          <w:sz w:val="24"/>
          <w:szCs w:val="24"/>
        </w:rPr>
        <w:t xml:space="preserve"> Please see answer 3 above.</w:t>
      </w:r>
    </w:p>
    <w:p w14:paraId="30A6FD57" w14:textId="77777777" w:rsidR="003E1DCC" w:rsidRPr="003E1DCC" w:rsidRDefault="003E1DCC" w:rsidP="004B7DD0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14:paraId="241D90C6" w14:textId="75DD35AD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</w:pPr>
      <w:r w:rsidRPr="003E1DCC"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  <w:t>5) The NOFA states the 3 letters of recommendation are part of the proposal package but are not included as one of the first 3 items required to be submitted by January 14, 2024. Do we include the 3 letters with the initial package submission or is there a separate due date for these?</w:t>
      </w:r>
    </w:p>
    <w:p w14:paraId="098789D1" w14:textId="77777777" w:rsidR="003E1DCC" w:rsidRPr="003E1DCC" w:rsidRDefault="003E1DCC" w:rsidP="00DD7D4F">
      <w:pPr>
        <w:spacing w:line="240" w:lineRule="auto"/>
        <w:contextualSpacing/>
        <w:rPr>
          <w:rFonts w:ascii="Century Gothic" w:eastAsia="Times New Roman" w:hAnsi="Century Gothic" w:cstheme="minorHAnsi"/>
          <w:b/>
          <w:bCs/>
          <w:color w:val="4472C4" w:themeColor="accent1"/>
          <w:sz w:val="24"/>
          <w:szCs w:val="24"/>
        </w:rPr>
      </w:pPr>
    </w:p>
    <w:p w14:paraId="6EC52C58" w14:textId="1151C88D" w:rsidR="00753C3D" w:rsidRPr="003E1DCC" w:rsidRDefault="004B7DD0" w:rsidP="00DD7D4F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3E1DCC">
        <w:rPr>
          <w:rFonts w:ascii="Century Gothic" w:eastAsia="Times New Roman" w:hAnsi="Century Gothic" w:cstheme="minorHAnsi"/>
          <w:b/>
          <w:bCs/>
          <w:sz w:val="24"/>
          <w:szCs w:val="24"/>
        </w:rPr>
        <w:t xml:space="preserve">A: </w:t>
      </w:r>
      <w:r w:rsidR="00753C3D"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The Letters of Recommendation are not </w:t>
      </w:r>
      <w:proofErr w:type="gramStart"/>
      <w:r w:rsidR="00753C3D"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>required, but</w:t>
      </w:r>
      <w:proofErr w:type="gramEnd"/>
      <w:r w:rsidR="00753C3D"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can be included with the </w:t>
      </w:r>
      <w:r w:rsidR="003E1DCC"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application package </w:t>
      </w:r>
      <w:r w:rsidR="00753C3D"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if an applicant chooses to submit them. </w:t>
      </w:r>
      <w:r w:rsidR="00DD7D4F" w:rsidRPr="003E1DCC">
        <w:rPr>
          <w:rFonts w:ascii="Century Gothic" w:eastAsia="Times New Roman" w:hAnsi="Century Gothic" w:cstheme="minorHAnsi"/>
          <w:sz w:val="24"/>
          <w:szCs w:val="24"/>
        </w:rPr>
        <w:t xml:space="preserve">Please see 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page </w:t>
      </w:r>
      <w:r w:rsidR="003E1DCC" w:rsidRPr="003E1DCC">
        <w:rPr>
          <w:rFonts w:ascii="Century Gothic" w:eastAsia="Times New Roman" w:hAnsi="Century Gothic" w:cstheme="minorHAnsi"/>
          <w:sz w:val="24"/>
          <w:szCs w:val="24"/>
        </w:rPr>
        <w:t xml:space="preserve">5 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of the Notice of Funds Available for additional details. </w:t>
      </w:r>
    </w:p>
    <w:p w14:paraId="7118FC06" w14:textId="77777777" w:rsidR="003E1DCC" w:rsidRPr="003E1DCC" w:rsidRDefault="003E1DCC" w:rsidP="00DD7D4F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278DA7C8" w14:textId="52C12AD9" w:rsidR="003E1DCC" w:rsidRDefault="003E1DCC" w:rsidP="003E1DCC">
      <w:pPr>
        <w:spacing w:line="240" w:lineRule="auto"/>
        <w:contextualSpacing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The final submission date is </w:t>
      </w:r>
      <w:r w:rsidRPr="00CF4C3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January 22, 2024</w:t>
      </w:r>
      <w:r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. Applications are due by 2:00 </w:t>
      </w:r>
      <w:proofErr w:type="spellStart"/>
      <w:r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>p.m</w:t>
      </w:r>
      <w:proofErr w:type="spellEnd"/>
      <w:r w:rsidRPr="003E1DC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PST.</w:t>
      </w:r>
    </w:p>
    <w:p w14:paraId="37AE2B85" w14:textId="77777777" w:rsidR="0073093E" w:rsidRDefault="0073093E" w:rsidP="003E1DCC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7A427D8D" w14:textId="77777777" w:rsidR="00CF4C3C" w:rsidRDefault="00CF4C3C" w:rsidP="003E1DCC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60AC74E9" w14:textId="77777777" w:rsidR="00CF4C3C" w:rsidRDefault="00CF4C3C" w:rsidP="003E1DCC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58BF01A8" w14:textId="77777777" w:rsidR="00CF4C3C" w:rsidRDefault="00CF4C3C" w:rsidP="003E1DCC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0E634A81" w14:textId="77777777" w:rsidR="00CF4C3C" w:rsidRDefault="00CF4C3C" w:rsidP="003E1DCC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0897A55B" w14:textId="77777777" w:rsidR="00CF4C3C" w:rsidRPr="003E1DCC" w:rsidRDefault="00CF4C3C" w:rsidP="003E1DCC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</w:p>
    <w:p w14:paraId="5F62560D" w14:textId="77777777" w:rsidR="000F35E9" w:rsidRPr="003E1DCC" w:rsidRDefault="000F35E9" w:rsidP="000F35E9">
      <w:pPr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lastRenderedPageBreak/>
        <w:t xml:space="preserve">6) As I am going through the NOFA and setting a budget, I noticed there was not a set amount or estimate for funding.  Do you know what the total budget amount for the TRCs are this cycle?  I did not see an amount for The Safe Neighborhood and Schools Fund (SNSF) either.  </w:t>
      </w:r>
    </w:p>
    <w:p w14:paraId="0F15918E" w14:textId="1F969E8B" w:rsidR="003E1DCC" w:rsidRDefault="000F35E9" w:rsidP="00753C3D">
      <w:pPr>
        <w:spacing w:line="240" w:lineRule="auto"/>
        <w:contextualSpacing/>
        <w:rPr>
          <w:rFonts w:ascii="Century Gothic" w:eastAsia="Times New Roman" w:hAnsi="Century Gothic" w:cstheme="minorHAnsi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sz w:val="24"/>
          <w:szCs w:val="24"/>
        </w:rPr>
        <w:t xml:space="preserve">A: </w:t>
      </w:r>
      <w:r w:rsidRPr="003E1DCC">
        <w:rPr>
          <w:rFonts w:ascii="Century Gothic" w:eastAsia="Times New Roman" w:hAnsi="Century Gothic" w:cstheme="minorHAnsi"/>
          <w:b/>
          <w:bCs/>
          <w:sz w:val="24"/>
          <w:szCs w:val="24"/>
        </w:rPr>
        <w:t xml:space="preserve"> 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CalVCB does not know the total budget amount for </w:t>
      </w:r>
      <w:r w:rsidR="0073093E">
        <w:rPr>
          <w:rFonts w:ascii="Century Gothic" w:eastAsia="Times New Roman" w:hAnsi="Century Gothic" w:cstheme="minorHAnsi"/>
          <w:sz w:val="24"/>
          <w:szCs w:val="24"/>
        </w:rPr>
        <w:t>this cycle of</w:t>
      </w:r>
      <w:r w:rsidR="0073093E" w:rsidRPr="003E1DCC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>TRC</w:t>
      </w:r>
      <w:r w:rsidR="003E1DCC" w:rsidRPr="003E1DCC">
        <w:rPr>
          <w:rFonts w:ascii="Century Gothic" w:eastAsia="Times New Roman" w:hAnsi="Century Gothic" w:cstheme="minorHAnsi"/>
          <w:sz w:val="24"/>
          <w:szCs w:val="24"/>
        </w:rPr>
        <w:t xml:space="preserve"> grants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proofErr w:type="gramStart"/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>at this time</w:t>
      </w:r>
      <w:proofErr w:type="gramEnd"/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. </w:t>
      </w:r>
      <w:r w:rsidR="0073093E">
        <w:rPr>
          <w:rFonts w:ascii="Century Gothic" w:eastAsia="Times New Roman" w:hAnsi="Century Gothic" w:cstheme="minorHAnsi"/>
          <w:sz w:val="24"/>
          <w:szCs w:val="24"/>
        </w:rPr>
        <w:t xml:space="preserve">While $2 million is guaranteed from the restitution fund, the amount from </w:t>
      </w:r>
      <w:r w:rsidR="00CF4C3C">
        <w:rPr>
          <w:rFonts w:ascii="Century Gothic" w:eastAsia="Times New Roman" w:hAnsi="Century Gothic" w:cstheme="minorHAnsi"/>
          <w:sz w:val="24"/>
          <w:szCs w:val="24"/>
        </w:rPr>
        <w:t xml:space="preserve">the Safe Neighborhood and Schools Fund </w:t>
      </w:r>
      <w:r w:rsidR="0073093E">
        <w:rPr>
          <w:rFonts w:ascii="Century Gothic" w:eastAsia="Times New Roman" w:hAnsi="Century Gothic" w:cstheme="minorHAnsi"/>
          <w:sz w:val="24"/>
          <w:szCs w:val="24"/>
        </w:rPr>
        <w:t xml:space="preserve">isn’t confirmed until later in the state budget process, typically in May. </w:t>
      </w:r>
      <w:r w:rsidR="00753C3D" w:rsidRPr="003E1DCC">
        <w:rPr>
          <w:rFonts w:ascii="Century Gothic" w:eastAsia="Times New Roman" w:hAnsi="Century Gothic" w:cstheme="minorHAnsi"/>
          <w:sz w:val="24"/>
          <w:szCs w:val="24"/>
        </w:rPr>
        <w:t xml:space="preserve">  </w:t>
      </w:r>
    </w:p>
    <w:p w14:paraId="75FE3B77" w14:textId="77777777" w:rsidR="003E1DCC" w:rsidRPr="003E1DCC" w:rsidRDefault="003E1DCC" w:rsidP="00753C3D">
      <w:pPr>
        <w:spacing w:line="240" w:lineRule="auto"/>
        <w:contextualSpacing/>
        <w:rPr>
          <w:rFonts w:ascii="Century Gothic" w:hAnsi="Century Gothic" w:cstheme="minorHAnsi"/>
          <w:sz w:val="24"/>
          <w:szCs w:val="24"/>
        </w:rPr>
      </w:pPr>
    </w:p>
    <w:p w14:paraId="4F090665" w14:textId="77777777" w:rsidR="001B5F76" w:rsidRPr="003E1DCC" w:rsidRDefault="001B5F76" w:rsidP="001B5F76">
      <w:pPr>
        <w:spacing w:after="0" w:line="240" w:lineRule="auto"/>
        <w:rPr>
          <w:rFonts w:ascii="Century Gothic" w:eastAsia="Times New Roman" w:hAnsi="Century Gothic"/>
          <w:b/>
          <w:bCs/>
          <w:color w:val="4472C4" w:themeColor="accent1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color w:val="4472C4" w:themeColor="accent1"/>
          <w:sz w:val="24"/>
          <w:szCs w:val="24"/>
        </w:rPr>
        <w:t xml:space="preserve">7) </w:t>
      </w:r>
      <w:r w:rsidRPr="003E1DCC">
        <w:rPr>
          <w:rFonts w:ascii="Century Gothic" w:eastAsia="Times New Roman" w:hAnsi="Century Gothic"/>
          <w:b/>
          <w:bCs/>
          <w:color w:val="4472C4" w:themeColor="accent1"/>
          <w:sz w:val="24"/>
          <w:szCs w:val="24"/>
        </w:rPr>
        <w:t>How do we obtain re-approval for the 5% indirect?</w:t>
      </w:r>
    </w:p>
    <w:p w14:paraId="293A1A27" w14:textId="284729DC" w:rsidR="001B5F76" w:rsidRPr="003E1DCC" w:rsidRDefault="001B5F76" w:rsidP="004443DC">
      <w:pPr>
        <w:spacing w:line="240" w:lineRule="auto"/>
        <w:contextualSpacing/>
        <w:rPr>
          <w:rFonts w:ascii="Century Gothic" w:hAnsi="Century Gothic" w:cstheme="minorHAnsi"/>
          <w:sz w:val="24"/>
          <w:szCs w:val="24"/>
        </w:rPr>
      </w:pPr>
    </w:p>
    <w:p w14:paraId="32E340BC" w14:textId="0D4ADF4C" w:rsidR="00241113" w:rsidRPr="003E1DCC" w:rsidRDefault="001B5F76" w:rsidP="00241113">
      <w:pPr>
        <w:jc w:val="both"/>
        <w:rPr>
          <w:rFonts w:ascii="Century Gothic" w:hAnsi="Century Gothic" w:cstheme="minorHAnsi"/>
          <w:sz w:val="24"/>
          <w:szCs w:val="24"/>
        </w:rPr>
      </w:pPr>
      <w:r w:rsidRPr="003E1DCC">
        <w:rPr>
          <w:rFonts w:ascii="Century Gothic" w:hAnsi="Century Gothic" w:cstheme="minorHAnsi"/>
          <w:b/>
          <w:bCs/>
          <w:sz w:val="24"/>
          <w:szCs w:val="24"/>
        </w:rPr>
        <w:t>A:</w:t>
      </w:r>
      <w:r w:rsidRPr="003E1DCC">
        <w:rPr>
          <w:rFonts w:ascii="Century Gothic" w:hAnsi="Century Gothic" w:cstheme="minorHAnsi"/>
          <w:sz w:val="24"/>
          <w:szCs w:val="24"/>
        </w:rPr>
        <w:t xml:space="preserve"> </w:t>
      </w:r>
      <w:r w:rsidR="00241113" w:rsidRPr="003E1DCC">
        <w:rPr>
          <w:rFonts w:ascii="Century Gothic" w:hAnsi="Century Gothic" w:cstheme="minorHAnsi"/>
          <w:sz w:val="24"/>
          <w:szCs w:val="24"/>
        </w:rPr>
        <w:t xml:space="preserve">Indirect cost allocations </w:t>
      </w:r>
      <w:r w:rsidR="00386BB8">
        <w:rPr>
          <w:rFonts w:ascii="Century Gothic" w:hAnsi="Century Gothic" w:cstheme="minorHAnsi"/>
          <w:sz w:val="24"/>
          <w:szCs w:val="24"/>
        </w:rPr>
        <w:t xml:space="preserve">require an </w:t>
      </w:r>
      <w:r w:rsidR="00241113" w:rsidRPr="003E1DCC">
        <w:rPr>
          <w:rFonts w:ascii="Century Gothic" w:hAnsi="Century Gothic" w:cstheme="minorHAnsi"/>
          <w:sz w:val="24"/>
          <w:szCs w:val="24"/>
        </w:rPr>
        <w:t xml:space="preserve">existing, approved indirect cost rate agreement with the state or federal government prior to the execution of the TRC grant agreement. </w:t>
      </w:r>
      <w:r w:rsidR="00386BB8">
        <w:rPr>
          <w:rFonts w:ascii="Century Gothic" w:hAnsi="Century Gothic" w:cstheme="minorHAnsi"/>
          <w:sz w:val="24"/>
          <w:szCs w:val="24"/>
        </w:rPr>
        <w:t xml:space="preserve">CalVCB does not issue or approve </w:t>
      </w:r>
      <w:r w:rsidR="00CF4C3C">
        <w:rPr>
          <w:rFonts w:ascii="Century Gothic" w:hAnsi="Century Gothic" w:cstheme="minorHAnsi"/>
          <w:sz w:val="24"/>
          <w:szCs w:val="24"/>
        </w:rPr>
        <w:t>indirect cost rate</w:t>
      </w:r>
      <w:r w:rsidR="00386BB8">
        <w:rPr>
          <w:rFonts w:ascii="Century Gothic" w:hAnsi="Century Gothic" w:cstheme="minorHAnsi"/>
          <w:sz w:val="24"/>
          <w:szCs w:val="24"/>
        </w:rPr>
        <w:t xml:space="preserve"> agreements, but requires the </w:t>
      </w:r>
      <w:r w:rsidR="00CF4C3C">
        <w:rPr>
          <w:rFonts w:ascii="Century Gothic" w:hAnsi="Century Gothic" w:cstheme="minorHAnsi"/>
          <w:sz w:val="24"/>
          <w:szCs w:val="24"/>
        </w:rPr>
        <w:t xml:space="preserve">approved agreement </w:t>
      </w:r>
      <w:r w:rsidR="00386BB8">
        <w:rPr>
          <w:rFonts w:ascii="Century Gothic" w:hAnsi="Century Gothic" w:cstheme="minorHAnsi"/>
          <w:sz w:val="24"/>
          <w:szCs w:val="24"/>
        </w:rPr>
        <w:t>to be submitted with the application.</w:t>
      </w:r>
    </w:p>
    <w:p w14:paraId="5531543E" w14:textId="562483CA" w:rsidR="001B5F76" w:rsidRPr="003E1DCC" w:rsidRDefault="001B5F76" w:rsidP="001B5F76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4778EACE" w14:textId="6079C1FC" w:rsidR="000F35E9" w:rsidRPr="003E1DCC" w:rsidRDefault="000F35E9" w:rsidP="001B5F76">
      <w:pPr>
        <w:spacing w:line="240" w:lineRule="auto"/>
        <w:contextualSpacing/>
        <w:rPr>
          <w:rFonts w:ascii="Century Gothic" w:hAnsi="Century Gothic" w:cstheme="minorHAnsi"/>
          <w:sz w:val="24"/>
          <w:szCs w:val="24"/>
        </w:rPr>
      </w:pPr>
    </w:p>
    <w:p w14:paraId="4E4D8982" w14:textId="260938FB" w:rsidR="004B7DD0" w:rsidRPr="003E1DCC" w:rsidRDefault="004B7DD0" w:rsidP="004B7DD0">
      <w:pPr>
        <w:spacing w:after="0" w:line="240" w:lineRule="auto"/>
        <w:rPr>
          <w:rFonts w:ascii="Century Gothic" w:eastAsia="Times New Roman" w:hAnsi="Century Gothic"/>
          <w:b/>
          <w:bCs/>
        </w:rPr>
      </w:pPr>
    </w:p>
    <w:p w14:paraId="76404E2A" w14:textId="4019F753" w:rsidR="004B7DD0" w:rsidRPr="003E1DCC" w:rsidRDefault="004B7DD0" w:rsidP="008F3C19">
      <w:pPr>
        <w:spacing w:after="240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4DDF840F" w14:textId="51A049DD" w:rsidR="00234343" w:rsidRPr="003E1DCC" w:rsidRDefault="00234343" w:rsidP="008F3C19">
      <w:pPr>
        <w:spacing w:after="240"/>
        <w:jc w:val="both"/>
        <w:rPr>
          <w:rFonts w:ascii="Century Gothic" w:hAnsi="Century Gothic" w:cstheme="minorHAnsi"/>
          <w:sz w:val="24"/>
          <w:szCs w:val="24"/>
        </w:rPr>
      </w:pPr>
    </w:p>
    <w:sectPr w:rsidR="00234343" w:rsidRPr="003E1DCC" w:rsidSect="008F3C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7A97" w14:textId="77777777" w:rsidR="00BB3505" w:rsidRDefault="00BB3505" w:rsidP="00F84FD7">
      <w:pPr>
        <w:spacing w:after="0" w:line="240" w:lineRule="auto"/>
      </w:pPr>
      <w:r>
        <w:separator/>
      </w:r>
    </w:p>
  </w:endnote>
  <w:endnote w:type="continuationSeparator" w:id="0">
    <w:p w14:paraId="4355F687" w14:textId="77777777" w:rsidR="00BB3505" w:rsidRDefault="00BB3505" w:rsidP="00F8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37017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3E3CF8D1" w14:textId="71B6C610" w:rsidR="00F84FD7" w:rsidRPr="003E1DCC" w:rsidRDefault="00F84FD7">
        <w:pPr>
          <w:pStyle w:val="Footer"/>
          <w:jc w:val="center"/>
          <w:rPr>
            <w:rFonts w:ascii="Century Gothic" w:hAnsi="Century Gothic"/>
          </w:rPr>
        </w:pPr>
        <w:r w:rsidRPr="003E1DCC">
          <w:rPr>
            <w:rFonts w:ascii="Century Gothic" w:hAnsi="Century Gothic"/>
          </w:rPr>
          <w:fldChar w:fldCharType="begin"/>
        </w:r>
        <w:r w:rsidRPr="003E1DCC">
          <w:rPr>
            <w:rFonts w:ascii="Century Gothic" w:hAnsi="Century Gothic"/>
          </w:rPr>
          <w:instrText xml:space="preserve"> PAGE   \* MERGEFORMAT </w:instrText>
        </w:r>
        <w:r w:rsidRPr="003E1DCC">
          <w:rPr>
            <w:rFonts w:ascii="Century Gothic" w:hAnsi="Century Gothic"/>
          </w:rPr>
          <w:fldChar w:fldCharType="separate"/>
        </w:r>
        <w:r w:rsidRPr="003E1DCC">
          <w:rPr>
            <w:rFonts w:ascii="Century Gothic" w:hAnsi="Century Gothic"/>
            <w:noProof/>
          </w:rPr>
          <w:t>2</w:t>
        </w:r>
        <w:r w:rsidRPr="003E1DCC">
          <w:rPr>
            <w:rFonts w:ascii="Century Gothic" w:hAnsi="Century Gothic"/>
            <w:noProof/>
          </w:rPr>
          <w:fldChar w:fldCharType="end"/>
        </w:r>
      </w:p>
    </w:sdtContent>
  </w:sdt>
  <w:p w14:paraId="043D000B" w14:textId="77777777" w:rsidR="00F84FD7" w:rsidRDefault="00F8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D3E8" w14:textId="77777777" w:rsidR="00BB3505" w:rsidRDefault="00BB3505" w:rsidP="00F84FD7">
      <w:pPr>
        <w:spacing w:after="0" w:line="240" w:lineRule="auto"/>
      </w:pPr>
      <w:r>
        <w:separator/>
      </w:r>
    </w:p>
  </w:footnote>
  <w:footnote w:type="continuationSeparator" w:id="0">
    <w:p w14:paraId="162E3F67" w14:textId="77777777" w:rsidR="00BB3505" w:rsidRDefault="00BB3505" w:rsidP="00F8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F29"/>
    <w:multiLevelType w:val="hybridMultilevel"/>
    <w:tmpl w:val="A91AE2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8DE11EF"/>
    <w:multiLevelType w:val="hybridMultilevel"/>
    <w:tmpl w:val="765A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7F1"/>
    <w:multiLevelType w:val="multilevel"/>
    <w:tmpl w:val="DA5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B149D"/>
    <w:multiLevelType w:val="hybridMultilevel"/>
    <w:tmpl w:val="1046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2468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681591">
    <w:abstractNumId w:val="0"/>
  </w:num>
  <w:num w:numId="3" w16cid:durableId="335351303">
    <w:abstractNumId w:val="2"/>
  </w:num>
  <w:num w:numId="4" w16cid:durableId="325520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29"/>
    <w:rsid w:val="00034141"/>
    <w:rsid w:val="00034D74"/>
    <w:rsid w:val="00055529"/>
    <w:rsid w:val="000C69BB"/>
    <w:rsid w:val="000E5C8A"/>
    <w:rsid w:val="000E6E30"/>
    <w:rsid w:val="000F35E9"/>
    <w:rsid w:val="001128E9"/>
    <w:rsid w:val="001149D3"/>
    <w:rsid w:val="00114B60"/>
    <w:rsid w:val="0018429F"/>
    <w:rsid w:val="001B5F76"/>
    <w:rsid w:val="001C7225"/>
    <w:rsid w:val="00207D9E"/>
    <w:rsid w:val="00234343"/>
    <w:rsid w:val="00241113"/>
    <w:rsid w:val="00265329"/>
    <w:rsid w:val="00282A73"/>
    <w:rsid w:val="002C5FD0"/>
    <w:rsid w:val="00307390"/>
    <w:rsid w:val="003175B7"/>
    <w:rsid w:val="00386BB8"/>
    <w:rsid w:val="003A3BFF"/>
    <w:rsid w:val="003E1DCC"/>
    <w:rsid w:val="003F6984"/>
    <w:rsid w:val="003F7738"/>
    <w:rsid w:val="00427057"/>
    <w:rsid w:val="00431BD8"/>
    <w:rsid w:val="004443DC"/>
    <w:rsid w:val="004B7DD0"/>
    <w:rsid w:val="004C5B39"/>
    <w:rsid w:val="004D7EDC"/>
    <w:rsid w:val="004F2AEE"/>
    <w:rsid w:val="00564F26"/>
    <w:rsid w:val="0056570A"/>
    <w:rsid w:val="00572055"/>
    <w:rsid w:val="005B6550"/>
    <w:rsid w:val="005C3992"/>
    <w:rsid w:val="005D3CF8"/>
    <w:rsid w:val="005E5CEC"/>
    <w:rsid w:val="00607300"/>
    <w:rsid w:val="00637597"/>
    <w:rsid w:val="0066747F"/>
    <w:rsid w:val="006803BE"/>
    <w:rsid w:val="007232E1"/>
    <w:rsid w:val="0073093E"/>
    <w:rsid w:val="00753C3D"/>
    <w:rsid w:val="007611C8"/>
    <w:rsid w:val="007774BB"/>
    <w:rsid w:val="007834F1"/>
    <w:rsid w:val="008475C9"/>
    <w:rsid w:val="008F3C19"/>
    <w:rsid w:val="008F7978"/>
    <w:rsid w:val="00921B45"/>
    <w:rsid w:val="00926C47"/>
    <w:rsid w:val="0096506D"/>
    <w:rsid w:val="00985469"/>
    <w:rsid w:val="00985769"/>
    <w:rsid w:val="009B34D7"/>
    <w:rsid w:val="009B6E81"/>
    <w:rsid w:val="009C6A8F"/>
    <w:rsid w:val="00A14965"/>
    <w:rsid w:val="00A20E8A"/>
    <w:rsid w:val="00A31C5D"/>
    <w:rsid w:val="00A54F73"/>
    <w:rsid w:val="00A80A28"/>
    <w:rsid w:val="00AD1374"/>
    <w:rsid w:val="00AE629F"/>
    <w:rsid w:val="00B01B51"/>
    <w:rsid w:val="00B13465"/>
    <w:rsid w:val="00B86CCC"/>
    <w:rsid w:val="00B94BC4"/>
    <w:rsid w:val="00BB3505"/>
    <w:rsid w:val="00BD18D5"/>
    <w:rsid w:val="00BD359E"/>
    <w:rsid w:val="00BE27B7"/>
    <w:rsid w:val="00C466C7"/>
    <w:rsid w:val="00CA4AFD"/>
    <w:rsid w:val="00CF4C3C"/>
    <w:rsid w:val="00D02E1B"/>
    <w:rsid w:val="00D27094"/>
    <w:rsid w:val="00D62FA1"/>
    <w:rsid w:val="00D679DA"/>
    <w:rsid w:val="00D76881"/>
    <w:rsid w:val="00D83D3F"/>
    <w:rsid w:val="00DB7855"/>
    <w:rsid w:val="00DC756C"/>
    <w:rsid w:val="00DD7D4F"/>
    <w:rsid w:val="00E340B6"/>
    <w:rsid w:val="00E674F9"/>
    <w:rsid w:val="00E75BB4"/>
    <w:rsid w:val="00E8140A"/>
    <w:rsid w:val="00E979B2"/>
    <w:rsid w:val="00EB6ADE"/>
    <w:rsid w:val="00EC412C"/>
    <w:rsid w:val="00EC6F88"/>
    <w:rsid w:val="00ED592A"/>
    <w:rsid w:val="00EF60A4"/>
    <w:rsid w:val="00EF77E6"/>
    <w:rsid w:val="00F17EBF"/>
    <w:rsid w:val="00F31A6C"/>
    <w:rsid w:val="00F77DFD"/>
    <w:rsid w:val="00F84FD7"/>
    <w:rsid w:val="00F91175"/>
    <w:rsid w:val="00FB03BD"/>
    <w:rsid w:val="00FE380A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7AC9"/>
  <w15:chartTrackingRefBased/>
  <w15:docId w15:val="{FB7F63DE-724E-4C28-B0C7-75E42BE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D7"/>
  </w:style>
  <w:style w:type="paragraph" w:styleId="Footer">
    <w:name w:val="footer"/>
    <w:basedOn w:val="Normal"/>
    <w:link w:val="FooterChar"/>
    <w:uiPriority w:val="99"/>
    <w:unhideWhenUsed/>
    <w:rsid w:val="00F8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D7"/>
  </w:style>
  <w:style w:type="character" w:styleId="CommentReference">
    <w:name w:val="annotation reference"/>
    <w:basedOn w:val="DefaultParagraphFont"/>
    <w:uiPriority w:val="99"/>
    <w:semiHidden/>
    <w:unhideWhenUsed/>
    <w:rsid w:val="0011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C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4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Lynne</dc:creator>
  <cp:keywords/>
  <dc:description/>
  <cp:lastModifiedBy>Severon, Kristina@Victims</cp:lastModifiedBy>
  <cp:revision>2</cp:revision>
  <cp:lastPrinted>2022-12-13T20:51:00Z</cp:lastPrinted>
  <dcterms:created xsi:type="dcterms:W3CDTF">2023-12-19T19:41:00Z</dcterms:created>
  <dcterms:modified xsi:type="dcterms:W3CDTF">2023-12-19T19:41:00Z</dcterms:modified>
</cp:coreProperties>
</file>